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15="http://schemas.microsoft.com/office/word/2012/wordml" xmlns:wpi="http://schemas.microsoft.com/office/word/2010/wordprocessingInk" xmlns:w16cid="http://schemas.microsoft.com/office/word/2016/wordml/cid" xmlns:am3d="http://schemas.microsoft.com/office/drawing/2017/model3d" xmlns:w16se="http://schemas.microsoft.com/office/word/2015/wordml/symex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mc:Ignorable="w14 wp14 w15">
  <w:body>
    <w:p>
      <w:pPr>
        <w:jc w:val="center"/>
        <w:rPr>
          <w:b w:val="1"/>
          <w:sz w:val="28"/>
          <w:szCs w:val="28"/>
          <w:u w:val="single"/>
          <w:shd w:val="clear" w:color="auto" w:fill="auto"/>
          <w:rFonts w:ascii="Arial" w:hAnsi="Arial" w:cs="Arial"/>
        </w:rPr>
      </w:pPr>
      <w:r>
        <w:rPr>
          <w:b w:val="1"/>
          <w:sz w:val="28"/>
          <w:szCs w:val="28"/>
          <w:u w:val="single"/>
          <w:shd w:val="clear" w:color="auto" w:fill="auto"/>
          <w:rFonts w:ascii="Arial" w:hAnsi="Arial" w:cs="Arial"/>
        </w:rPr>
        <w:t xml:space="preserve">Leistungsverzeichnis </w:t>
      </w:r>
      <w:r>
        <w:rPr>
          <w:b w:val="1"/>
          <w:sz w:val="32"/>
          <w:szCs w:val="32"/>
          <w:u w:val="single"/>
          <w:shd w:val="clear" w:color="auto" w:fill="auto"/>
          <w:rFonts w:ascii="Arial" w:hAnsi="Arial" w:cs="Arial"/>
        </w:rPr>
        <w:t xml:space="preserve">2 x TSF-W</w:t>
      </w:r>
    </w:p>
    <w:p>
      <w:pPr>
        <w:jc w:val="both"/>
        <w:rPr>
          <w:b w:val="1"/>
          <w:sz w:val="28"/>
          <w:szCs w:val="28"/>
          <w:u w:val="single"/>
          <w:shd w:val="clear" w:color="auto" w:fill="auto"/>
          <w:rFonts w:ascii="Arial" w:hAnsi="Arial" w:cs="Arial"/>
        </w:rPr>
      </w:pPr>
    </w:p>
    <w:p>
      <w:pPr>
        <w:jc w:val="both"/>
        <w:rPr>
          <w:b w:val="1"/>
          <w:sz w:val="32"/>
          <w:szCs w:val="32"/>
          <w:u w:val="single"/>
          <w:shd w:val="clear" w:color="auto" w:fill="auto"/>
          <w:rFonts w:ascii="Arial" w:hAnsi="Arial" w:cs="Arial"/>
        </w:rPr>
      </w:pPr>
      <w:r>
        <w:rPr>
          <w:b w:val="1"/>
          <w:sz w:val="32"/>
          <w:szCs w:val="32"/>
          <w:u w:val="single"/>
          <w:shd w:val="clear" w:color="auto" w:fill="auto"/>
          <w:rFonts w:ascii="Arial" w:hAnsi="Arial" w:cs="Arial"/>
        </w:rPr>
        <w:t xml:space="preserve">Die Fahrzeuge sollen in 2027 ausgeliefert und kassenwirksam </w:t>
      </w:r>
      <w:r>
        <w:rPr>
          <w:b w:val="1"/>
          <w:sz w:val="32"/>
          <w:szCs w:val="32"/>
          <w:u w:val="single"/>
          <w:shd w:val="clear" w:color="auto" w:fill="auto"/>
          <w:rFonts w:ascii="Arial" w:hAnsi="Arial" w:cs="Arial"/>
        </w:rPr>
        <w:t>werden.</w:t>
      </w:r>
    </w:p>
    <w:p>
      <w:pPr>
        <w:jc w:val="both"/>
        <w:spacing w:lineRule="auto" w:line="275"/>
        <w:ind w:right="423" w:firstLine="0"/>
        <w:rPr>
          <w:sz w:val="24"/>
          <w:szCs w:val="24"/>
          <w:shd w:val="clear" w:color="auto" w:fill="auto"/>
          <w:rFonts w:ascii="Arial" w:hAnsi="Arial" w:cs="Arial"/>
        </w:rPr>
      </w:pPr>
    </w:p>
    <w:p>
      <w:pPr>
        <w:jc w:val="both"/>
        <w:spacing w:lineRule="auto" w:line="275"/>
        <w:ind w:right="423" w:firstLine="0"/>
        <w:rPr>
          <w:sz w:val="24"/>
          <w:szCs w:val="24"/>
          <w:shd w:val="clear" w:color="auto" w:fill="auto"/>
          <w:rFonts w:ascii="Arial" w:hAnsi="Arial" w:cs="Arial"/>
        </w:rPr>
      </w:pPr>
      <w:r>
        <w:rPr>
          <w:sz w:val="24"/>
          <w:szCs w:val="24"/>
          <w:shd w:val="clear" w:color="auto" w:fill="auto"/>
          <w:rFonts w:ascii="Arial" w:hAnsi="Arial" w:cs="Arial"/>
        </w:rPr>
        <w:t xml:space="preserve">Dieser Anfrage sind die besonderen Vertragsbedingungen der Stadt Oberhausen </w:t>
      </w:r>
      <w:r>
        <w:rPr>
          <w:sz w:val="24"/>
          <w:szCs w:val="24"/>
          <w:shd w:val="clear" w:color="auto" w:fill="auto"/>
          <w:rFonts w:ascii="Arial" w:hAnsi="Arial" w:cs="Arial"/>
        </w:rPr>
        <w:t>beigefügt.</w:t>
      </w:r>
    </w:p>
    <w:p>
      <w:pPr>
        <w:jc w:val="both"/>
        <w:spacing w:lineRule="auto" w:line="275"/>
        <w:ind w:right="423" w:firstLine="0"/>
        <w:rPr>
          <w:sz w:val="24"/>
          <w:szCs w:val="24"/>
          <w:shd w:val="clear" w:color="auto" w:fill="auto"/>
          <w:rFonts w:ascii="Arial" w:hAnsi="Arial" w:cs="Arial"/>
        </w:rPr>
      </w:pPr>
      <w:r>
        <w:rPr>
          <w:sz w:val="24"/>
          <w:szCs w:val="24"/>
          <w:shd w:val="clear" w:color="auto" w:fill="auto"/>
          <w:rFonts w:ascii="Arial" w:hAnsi="Arial" w:cs="Arial"/>
        </w:rPr>
        <w:t xml:space="preserve">Es werden ausschließlich Angebote berücksichtigt, denen ein ausgefülltes und </w:t>
      </w:r>
      <w:r>
        <w:rPr>
          <w:sz w:val="24"/>
          <w:szCs w:val="24"/>
          <w:shd w:val="clear" w:color="auto" w:fill="auto"/>
          <w:rFonts w:ascii="Arial" w:hAnsi="Arial" w:cs="Arial"/>
        </w:rPr>
        <w:t xml:space="preserve">rechtsverbindlich unterschriebenes Exemplar beigefügt ist.</w:t>
      </w:r>
    </w:p>
    <w:p>
      <w:pPr>
        <w:jc w:val="both"/>
        <w:spacing w:lineRule="auto" w:line="275"/>
        <w:ind w:right="423" w:firstLine="0"/>
        <w:tabs>
          <w:tab w:val="left" w:pos="426"/>
        </w:tabs>
        <w:rPr>
          <w:sz w:val="24"/>
          <w:szCs w:val="24"/>
          <w:shd w:val="clear" w:color="auto" w:fill="auto"/>
          <w:rFonts w:ascii="Arial" w:hAnsi="Arial" w:cs="Arial"/>
        </w:rPr>
      </w:pPr>
      <w:r>
        <w:rPr>
          <w:sz w:val="24"/>
          <w:szCs w:val="24"/>
          <w:shd w:val="clear" w:color="auto" w:fill="auto"/>
          <w:rFonts w:ascii="Arial" w:hAnsi="Arial" w:cs="Arial"/>
        </w:rPr>
        <w:t xml:space="preserve">Der Lieferumfang - auch Teilumfang - muss folgenden Vorschriften entsprechen:</w:t>
      </w:r>
    </w:p>
    <w:p>
      <w:pPr>
        <w:jc w:val="both"/>
        <w:spacing w:lineRule="auto" w:line="275"/>
        <w:ind w:right="423" w:firstLine="0"/>
        <w:tabs>
          <w:tab w:val="left" w:pos="426"/>
        </w:tabs>
        <w:rPr>
          <w:sz w:val="24"/>
          <w:szCs w:val="24"/>
          <w:shd w:val="clear" w:color="auto" w:fill="auto"/>
          <w:rFonts w:ascii="Arial" w:hAnsi="Arial" w:cs="Arial"/>
        </w:rPr>
      </w:pPr>
    </w:p>
    <w:p>
      <w:pPr>
        <w:numPr>
          <w:numId w:val="1"/>
          <w:ilvl w:val="0"/>
        </w:numPr>
        <w:jc w:val="both"/>
        <w:spacing w:lineRule="auto" w:line="480"/>
        <w:ind w:left="142" w:firstLine="0"/>
        <w:rPr>
          <w:b w:val="1"/>
          <w:sz w:val="24"/>
          <w:szCs w:val="24"/>
          <w:shd w:val="clear" w:color="auto" w:fill="auto"/>
          <w:rFonts w:ascii="Arial" w:hAnsi="Arial" w:cs="Arial"/>
        </w:rPr>
      </w:pPr>
      <w:r>
        <w:rPr>
          <w:b w:val="1"/>
          <w:sz w:val="24"/>
          <w:szCs w:val="24"/>
          <w:shd w:val="clear" w:color="auto" w:fill="auto"/>
          <w:rFonts w:ascii="Arial" w:hAnsi="Arial" w:cs="Arial"/>
        </w:rPr>
        <w:t>StVZO</w:t>
      </w:r>
    </w:p>
    <w:p>
      <w:pPr>
        <w:numPr>
          <w:numId w:val="1"/>
          <w:ilvl w:val="0"/>
        </w:numPr>
        <w:jc w:val="both"/>
        <w:spacing w:lineRule="auto" w:line="480"/>
        <w:ind w:left="142" w:firstLine="0"/>
        <w:rPr>
          <w:b w:val="1"/>
          <w:sz w:val="24"/>
          <w:szCs w:val="24"/>
          <w:shd w:val="clear" w:color="auto" w:fill="auto"/>
          <w:rFonts w:ascii="Arial" w:hAnsi="Arial" w:cs="Arial"/>
        </w:rPr>
      </w:pPr>
      <w:r>
        <w:rPr>
          <w:b w:val="1"/>
          <w:sz w:val="24"/>
          <w:szCs w:val="24"/>
          <w:shd w:val="clear" w:color="auto" w:fill="auto"/>
          <w:rFonts w:ascii="Arial" w:hAnsi="Arial" w:cs="Arial"/>
        </w:rPr>
        <w:t xml:space="preserve"> Unfallverhütungsvorschriften</w:t>
      </w:r>
    </w:p>
    <w:p>
      <w:pPr>
        <w:numPr>
          <w:numId w:val="1"/>
          <w:ilvl w:val="0"/>
        </w:numPr>
        <w:jc w:val="both"/>
        <w:spacing w:lineRule="auto" w:line="480"/>
        <w:ind w:left="142" w:firstLine="0"/>
        <w:rPr>
          <w:b w:val="1"/>
          <w:sz w:val="24"/>
          <w:szCs w:val="24"/>
          <w:shd w:val="clear" w:color="auto" w:fill="auto"/>
          <w:rFonts w:ascii="Arial" w:hAnsi="Arial" w:cs="Arial"/>
        </w:rPr>
      </w:pPr>
      <w:r>
        <w:rPr>
          <w:b w:val="1"/>
          <w:sz w:val="24"/>
          <w:szCs w:val="24"/>
          <w:shd w:val="clear" w:color="auto" w:fill="auto"/>
          <w:rFonts w:ascii="Arial" w:hAnsi="Arial" w:cs="Arial"/>
        </w:rPr>
        <w:t xml:space="preserve"> Aktueller Stand der Technik</w:t>
      </w:r>
    </w:p>
    <w:p>
      <w:pPr>
        <w:numPr>
          <w:numId w:val="1"/>
          <w:ilvl w:val="0"/>
        </w:numPr>
        <w:jc w:val="both"/>
        <w:spacing w:lineRule="auto" w:line="480"/>
        <w:ind w:left="142" w:firstLine="0"/>
        <w:rPr>
          <w:b w:val="1"/>
          <w:sz w:val="24"/>
          <w:szCs w:val="24"/>
          <w:shd w:val="clear" w:color="auto" w:fill="auto"/>
          <w:rFonts w:ascii="Arial" w:hAnsi="Arial" w:cs="Arial"/>
        </w:rPr>
      </w:pPr>
      <w:r>
        <w:rPr>
          <w:b w:val="1"/>
          <w:sz w:val="24"/>
          <w:szCs w:val="24"/>
          <w:shd w:val="clear" w:color="auto" w:fill="auto"/>
          <w:rFonts w:ascii="Arial" w:hAnsi="Arial" w:cs="Arial"/>
        </w:rPr>
        <w:t xml:space="preserve">DIN EN 1846</w:t>
      </w:r>
    </w:p>
    <w:p>
      <w:pPr>
        <w:numPr>
          <w:numId w:val="1"/>
          <w:ilvl w:val="0"/>
        </w:numPr>
        <w:jc w:val="both"/>
        <w:spacing w:lineRule="auto" w:line="480"/>
        <w:ind w:left="142" w:firstLine="0"/>
        <w:rPr>
          <w:b w:val="1"/>
          <w:sz w:val="24"/>
          <w:szCs w:val="24"/>
          <w:shd w:val="clear" w:color="auto" w:fill="auto"/>
          <w:rFonts w:ascii="Arial" w:hAnsi="Arial" w:cs="Arial"/>
        </w:rPr>
      </w:pPr>
      <w:r>
        <w:rPr>
          <w:b w:val="1"/>
          <w:sz w:val="24"/>
          <w:szCs w:val="24"/>
          <w:shd w:val="clear" w:color="auto" w:fill="auto"/>
          <w:rFonts w:ascii="Arial" w:hAnsi="Arial" w:cs="Arial"/>
        </w:rPr>
        <w:t>DIN</w:t>
      </w:r>
      <w:r>
        <w:rPr>
          <w:b w:val="1"/>
          <w:sz w:val="24"/>
          <w:szCs w:val="24"/>
          <w:shd w:val="clear" w:color="auto" w:fill="auto"/>
          <w:rFonts w:ascii="Arial" w:hAnsi="Arial" w:cs="Arial"/>
        </w:rPr>
        <w:t xml:space="preserve"> 14530-17</w:t>
      </w:r>
      <w:r>
        <w:rPr>
          <w:b w:val="1"/>
          <w:sz w:val="24"/>
          <w:szCs w:val="24"/>
          <w:shd w:val="clear" w:color="auto" w:fill="auto"/>
          <w:rFonts w:ascii="Arial" w:hAnsi="Arial" w:cs="Arial"/>
        </w:rPr>
        <w:t xml:space="preserve"> TSF-W</w:t>
      </w:r>
    </w:p>
    <w:p>
      <w:pPr>
        <w:numPr>
          <w:numId w:val="1"/>
          <w:ilvl w:val="0"/>
        </w:numPr>
        <w:jc w:val="both"/>
        <w:spacing w:lineRule="auto" w:line="480"/>
        <w:ind w:left="142" w:firstLine="0"/>
        <w:rPr>
          <w:b w:val="1"/>
          <w:sz w:val="24"/>
          <w:szCs w:val="24"/>
          <w:shd w:val="clear" w:color="auto" w:fill="auto"/>
          <w:rFonts w:ascii="Arial" w:hAnsi="Arial" w:cs="Arial"/>
        </w:rPr>
      </w:pPr>
      <w:r>
        <w:rPr>
          <w:b w:val="1"/>
          <w:sz w:val="24"/>
          <w:szCs w:val="24"/>
          <w:shd w:val="clear" w:color="auto" w:fill="auto"/>
          <w:rFonts w:ascii="Arial" w:hAnsi="Arial" w:cs="Arial"/>
        </w:rPr>
        <w:t xml:space="preserve"> Sonstige am Tag der Auslieferung geltenden gesetzlichen Bestimmungen</w:t>
      </w:r>
    </w:p>
    <w:p>
      <w:pPr>
        <w:numPr>
          <w:numId w:val="2"/>
          <w:ilvl w:val="0"/>
        </w:numPr>
        <w:jc w:val="both"/>
        <w:spacing w:lineRule="auto" w:line="275"/>
        <w:ind w:left="567" w:right="425" w:hanging="425"/>
        <w:rPr>
          <w:sz w:val="24"/>
          <w:szCs w:val="24"/>
          <w:shd w:val="clear" w:color="auto" w:fill="auto"/>
          <w:rFonts w:ascii="Arial" w:hAnsi="Arial" w:cs="Arial"/>
        </w:rPr>
      </w:pPr>
      <w:r>
        <w:rPr>
          <w:sz w:val="24"/>
          <w:szCs w:val="24"/>
          <w:shd w:val="clear" w:color="auto" w:fill="auto"/>
          <w:rFonts w:ascii="Arial" w:hAnsi="Arial" w:cs="Arial"/>
        </w:rPr>
        <w:t xml:space="preserve">Das Leistungsverzeichnis bezieht sich auf ein (1) Fahrzeug, der Umfang der </w:t>
      </w:r>
      <w:r>
        <w:rPr>
          <w:sz w:val="24"/>
          <w:szCs w:val="24"/>
          <w:shd w:val="clear" w:color="auto" w:fill="auto"/>
          <w:rFonts w:ascii="Arial" w:hAnsi="Arial" w:cs="Arial"/>
        </w:rPr>
        <w:t xml:space="preserve">Ausschreibung bezieht sich auf zwei (2) Fahrzeuge.</w:t>
      </w:r>
    </w:p>
    <w:p>
      <w:pPr>
        <w:jc w:val="both"/>
        <w:spacing w:lineRule="auto" w:line="275"/>
        <w:ind w:right="425" w:firstLine="0"/>
        <w:rPr>
          <w:sz w:val="24"/>
          <w:szCs w:val="24"/>
          <w:shd w:val="clear" w:color="auto" w:fill="auto"/>
          <w:rFonts w:ascii="Arial" w:hAnsi="Arial" w:cs="Arial"/>
        </w:rPr>
      </w:pPr>
    </w:p>
    <w:p>
      <w:pPr>
        <w:numPr>
          <w:numId w:val="2"/>
          <w:ilvl w:val="0"/>
        </w:numPr>
        <w:jc w:val="both"/>
        <w:spacing w:lineRule="auto" w:line="275"/>
        <w:ind w:left="567" w:right="425" w:hanging="425"/>
        <w:rPr>
          <w:sz w:val="24"/>
          <w:szCs w:val="24"/>
          <w:shd w:val="clear" w:color="auto" w:fill="auto"/>
          <w:rFonts w:ascii="Arial" w:hAnsi="Arial" w:cs="Arial"/>
        </w:rPr>
      </w:pPr>
      <w:r>
        <w:rPr>
          <w:sz w:val="24"/>
          <w:szCs w:val="24"/>
          <w:shd w:val="clear" w:color="auto" w:fill="auto"/>
          <w:rFonts w:ascii="Arial" w:hAnsi="Arial" w:cs="Arial"/>
        </w:rPr>
        <w:t xml:space="preserve">Auf notwendige Ausnahmegenehmigungen ist hinzuweisen und möglichst vom </w:t>
      </w:r>
      <w:r>
        <w:rPr>
          <w:sz w:val="24"/>
          <w:szCs w:val="24"/>
          <w:shd w:val="clear" w:color="auto" w:fill="auto"/>
          <w:rFonts w:ascii="Arial" w:hAnsi="Arial" w:cs="Arial"/>
        </w:rPr>
        <w:t xml:space="preserve">Hersteller zu beantragen.</w:t>
      </w:r>
    </w:p>
    <w:p>
      <w:pPr>
        <w:numPr>
          <w:numId w:val="0"/>
        </w:numPr>
        <w:jc w:val="both"/>
        <w:spacing w:lineRule="auto" w:line="275"/>
        <w:ind w:left="567" w:right="425" w:hanging="425"/>
        <w:rPr>
          <w:sz w:val="24"/>
          <w:szCs w:val="24"/>
          <w:shd w:val="clear" w:color="auto" w:fill="auto"/>
          <w:rFonts w:ascii="Arial" w:hAnsi="Arial" w:cs="Arial"/>
        </w:rPr>
      </w:pPr>
    </w:p>
    <w:p>
      <w:pPr>
        <w:numPr>
          <w:numId w:val="2"/>
          <w:ilvl w:val="0"/>
        </w:numPr>
        <w:jc w:val="both"/>
        <w:spacing w:lineRule="auto" w:line="275"/>
        <w:ind w:left="567" w:right="425" w:hanging="425"/>
        <w:rPr>
          <w:sz w:val="24"/>
          <w:szCs w:val="24"/>
          <w:shd w:val="clear" w:color="auto" w:fill="auto"/>
          <w:rFonts w:ascii="Arial" w:hAnsi="Arial" w:cs="Arial"/>
        </w:rPr>
      </w:pPr>
      <w:r>
        <w:rPr>
          <w:sz w:val="24"/>
          <w:szCs w:val="24"/>
          <w:shd w:val="clear" w:color="auto" w:fill="auto"/>
          <w:rFonts w:ascii="Arial" w:hAnsi="Arial" w:cs="Arial"/>
        </w:rPr>
        <w:t xml:space="preserve">Der Werkstoff PVC ist nur dort einzusetzen, wo es keinen Alternativwerkstoff gibt.</w:t>
      </w:r>
    </w:p>
    <w:p>
      <w:pPr>
        <w:numPr>
          <w:numId w:val="0"/>
        </w:numPr>
        <w:jc w:val="both"/>
        <w:spacing w:lineRule="auto" w:line="275"/>
        <w:ind w:left="567" w:right="425" w:hanging="425"/>
        <w:rPr>
          <w:sz w:val="24"/>
          <w:szCs w:val="24"/>
          <w:shd w:val="clear" w:color="auto" w:fill="auto"/>
          <w:rFonts w:ascii="Arial" w:hAnsi="Arial" w:cs="Arial"/>
        </w:rPr>
      </w:pPr>
    </w:p>
    <w:p>
      <w:pPr>
        <w:pStyle w:val="PO155"/>
        <w:numPr>
          <w:numId w:val="2"/>
          <w:ilvl w:val="0"/>
        </w:numPr>
        <w:jc w:val="both"/>
        <w:spacing w:lineRule="auto" w:line="275"/>
        <w:ind w:left="567" w:right="423" w:hanging="425"/>
        <w:rPr>
          <w:sz w:val="24"/>
          <w:szCs w:val="24"/>
          <w:shd w:val="clear" w:color="auto" w:fill="auto"/>
        </w:rPr>
      </w:pPr>
      <w:r>
        <w:rPr>
          <w:sz w:val="24"/>
          <w:szCs w:val="24"/>
          <w:shd w:val="clear" w:color="auto" w:fill="auto"/>
        </w:rPr>
        <w:t xml:space="preserve">Der Feuerwehr Oberhausen ist im Rahmen der Ausschreibung ein Fahrzeug des </w:t>
      </w:r>
      <w:r>
        <w:rPr>
          <w:sz w:val="24"/>
          <w:szCs w:val="24"/>
          <w:shd w:val="clear" w:color="auto" w:fill="auto"/>
        </w:rPr>
        <w:t xml:space="preserve">ausgeschriebenen Typs vorzustellen oder eine Besichtigung im max. 100 km </w:t>
      </w:r>
      <w:r>
        <w:rPr>
          <w:sz w:val="24"/>
          <w:szCs w:val="24"/>
          <w:shd w:val="clear" w:color="auto" w:fill="auto"/>
        </w:rPr>
        <w:t xml:space="preserve">Entfernung zu vermitteln. Die Ergebnisse einer direkten Inaugenscheinnahme </w:t>
      </w:r>
      <w:r>
        <w:rPr>
          <w:sz w:val="24"/>
          <w:szCs w:val="24"/>
          <w:shd w:val="clear" w:color="auto" w:fill="auto"/>
        </w:rPr>
        <w:t xml:space="preserve">fließen bei der Bewertung des abgegebenen Angebotes ein (nach </w:t>
      </w:r>
      <w:r>
        <w:rPr>
          <w:sz w:val="24"/>
          <w:szCs w:val="24"/>
          <w:shd w:val="clear" w:color="auto" w:fill="auto"/>
        </w:rPr>
        <w:t>Zuschlagskriterien).</w:t>
      </w:r>
    </w:p>
    <w:p>
      <w:pPr>
        <w:pStyle w:val="PO26"/>
        <w:rPr>
          <w:sz w:val="24"/>
          <w:szCs w:val="24"/>
          <w:shd w:val="clear" w:color="auto" w:fill="auto"/>
        </w:rPr>
      </w:pPr>
    </w:p>
    <w:p>
      <w:pPr>
        <w:pStyle w:val="PO155"/>
        <w:numPr>
          <w:numId w:val="2"/>
          <w:ilvl w:val="0"/>
        </w:numPr>
        <w:jc w:val="both"/>
        <w:spacing w:lineRule="auto" w:line="275"/>
        <w:ind w:left="567" w:right="423" w:hanging="425"/>
        <w:rPr>
          <w:sz w:val="24"/>
          <w:szCs w:val="24"/>
          <w:shd w:val="clear" w:color="auto" w:fill="auto"/>
        </w:rPr>
      </w:pPr>
      <w:r>
        <w:rPr>
          <w:sz w:val="24"/>
          <w:szCs w:val="24"/>
          <w:shd w:val="clear" w:color="auto" w:fill="auto"/>
        </w:rPr>
        <w:t xml:space="preserve">Nach der Auftragsvergabe ist mit dem Auftraggeber am Ort des Auftragnehmers </w:t>
      </w:r>
      <w:r>
        <w:rPr>
          <w:sz w:val="24"/>
          <w:szCs w:val="24"/>
          <w:shd w:val="clear" w:color="auto" w:fill="auto"/>
        </w:rPr>
        <w:t xml:space="preserve">eine Detailbesprechung / Rohbaubesprechung durchzuführen. Der Auftragnehmer </w:t>
      </w:r>
      <w:r>
        <w:rPr>
          <w:sz w:val="24"/>
          <w:szCs w:val="24"/>
          <w:shd w:val="clear" w:color="auto" w:fill="auto"/>
        </w:rPr>
        <w:t xml:space="preserve">erstellt zu jeder Konstruktionsbesprechung (vor Ort oder telefonisch) ein </w:t>
      </w:r>
      <w:r>
        <w:rPr>
          <w:sz w:val="24"/>
          <w:szCs w:val="24"/>
          <w:shd w:val="clear" w:color="auto" w:fill="auto"/>
        </w:rPr>
        <w:t xml:space="preserve">Gesprächsprotokoll in digitaler Form, welches innerhalb von fünf Werktagen dem </w:t>
      </w:r>
      <w:r>
        <w:rPr>
          <w:sz w:val="24"/>
          <w:szCs w:val="24"/>
          <w:shd w:val="clear" w:color="auto" w:fill="auto"/>
        </w:rPr>
        <w:t xml:space="preserve">Auftraggeber (Feuerwehr Oberhausen) per Mail an </w:t>
      </w:r>
      <w:r>
        <w:fldChar w:fldCharType="begin"/>
      </w:r>
      <w:r>
        <w:instrText xml:space="preserve">HYPERLINK "mailto:feuerwehrbeschaffung@oberhausen.de"</w:instrText>
      </w:r>
      <w:r>
        <w:fldChar w:fldCharType="separate"/>
      </w:r>
      <w:r>
        <w:rPr>
          <w:rStyle w:val="PO158"/>
          <w:sz w:val="24"/>
          <w:szCs w:val="24"/>
          <w:shd w:val="clear" w:color="auto" w:fill="auto"/>
        </w:rPr>
        <w:t>f</w:t>
      </w:r>
      <w:r>
        <w:rPr>
          <w:rStyle w:val="PO158"/>
          <w:sz w:val="24"/>
          <w:szCs w:val="24"/>
          <w:shd w:val="clear" w:color="auto" w:fill="auto"/>
        </w:rPr>
        <w:t>e</w:t>
      </w:r>
      <w:r>
        <w:rPr>
          <w:rStyle w:val="PO158"/>
          <w:sz w:val="24"/>
          <w:szCs w:val="24"/>
          <w:shd w:val="clear" w:color="auto" w:fill="auto"/>
        </w:rPr>
        <w:t>u</w:t>
      </w:r>
      <w:r>
        <w:rPr>
          <w:rStyle w:val="PO158"/>
          <w:sz w:val="24"/>
          <w:szCs w:val="24"/>
          <w:shd w:val="clear" w:color="auto" w:fill="auto"/>
        </w:rPr>
        <w:t>e</w:t>
      </w:r>
      <w:r>
        <w:rPr>
          <w:rStyle w:val="PO158"/>
          <w:sz w:val="24"/>
          <w:szCs w:val="24"/>
          <w:shd w:val="clear" w:color="auto" w:fill="auto"/>
        </w:rPr>
        <w:t>r</w:t>
      </w:r>
      <w:r>
        <w:rPr>
          <w:rStyle w:val="PO158"/>
          <w:sz w:val="24"/>
          <w:szCs w:val="24"/>
          <w:shd w:val="clear" w:color="auto" w:fill="auto"/>
        </w:rPr>
        <w:t>w</w:t>
      </w:r>
      <w:r>
        <w:rPr>
          <w:rStyle w:val="PO158"/>
          <w:sz w:val="24"/>
          <w:szCs w:val="24"/>
          <w:shd w:val="clear" w:color="auto" w:fill="auto"/>
        </w:rPr>
        <w:t>e</w:t>
      </w:r>
      <w:r>
        <w:rPr>
          <w:rStyle w:val="PO158"/>
          <w:sz w:val="24"/>
          <w:szCs w:val="24"/>
          <w:shd w:val="clear" w:color="auto" w:fill="auto"/>
        </w:rPr>
        <w:t>h</w:t>
      </w:r>
      <w:r>
        <w:rPr>
          <w:rStyle w:val="PO158"/>
          <w:sz w:val="24"/>
          <w:szCs w:val="24"/>
          <w:shd w:val="clear" w:color="auto" w:fill="auto"/>
        </w:rPr>
        <w:t>r</w:t>
      </w:r>
      <w:r>
        <w:rPr>
          <w:rStyle w:val="PO158"/>
          <w:sz w:val="24"/>
          <w:szCs w:val="24"/>
          <w:shd w:val="clear" w:color="auto" w:fill="auto"/>
        </w:rPr>
        <w:t>b</w:t>
      </w:r>
      <w:r>
        <w:rPr>
          <w:rStyle w:val="PO158"/>
          <w:sz w:val="24"/>
          <w:szCs w:val="24"/>
          <w:shd w:val="clear" w:color="auto" w:fill="auto"/>
        </w:rPr>
        <w:t>e</w:t>
      </w:r>
      <w:r>
        <w:rPr>
          <w:rStyle w:val="PO158"/>
          <w:sz w:val="24"/>
          <w:szCs w:val="24"/>
          <w:shd w:val="clear" w:color="auto" w:fill="auto"/>
        </w:rPr>
        <w:t>s</w:t>
      </w:r>
      <w:r>
        <w:rPr>
          <w:rStyle w:val="PO158"/>
          <w:sz w:val="24"/>
          <w:szCs w:val="24"/>
          <w:shd w:val="clear" w:color="auto" w:fill="auto"/>
        </w:rPr>
        <w:t>c</w:t>
      </w:r>
      <w:r>
        <w:rPr>
          <w:rStyle w:val="PO158"/>
          <w:sz w:val="24"/>
          <w:szCs w:val="24"/>
          <w:shd w:val="clear" w:color="auto" w:fill="auto"/>
        </w:rPr>
        <w:t>h</w:t>
      </w:r>
      <w:r>
        <w:rPr>
          <w:rStyle w:val="PO158"/>
          <w:sz w:val="24"/>
          <w:szCs w:val="24"/>
          <w:shd w:val="clear" w:color="auto" w:fill="auto"/>
        </w:rPr>
        <w:t>a</w:t>
      </w:r>
      <w:r>
        <w:rPr>
          <w:rStyle w:val="PO158"/>
          <w:sz w:val="24"/>
          <w:szCs w:val="24"/>
          <w:shd w:val="clear" w:color="auto" w:fill="auto"/>
        </w:rPr>
        <w:t>f</w:t>
      </w:r>
      <w:r>
        <w:rPr>
          <w:rStyle w:val="PO158"/>
          <w:sz w:val="24"/>
          <w:szCs w:val="24"/>
          <w:shd w:val="clear" w:color="auto" w:fill="auto"/>
        </w:rPr>
        <w:t>f</w:t>
      </w:r>
      <w:r>
        <w:rPr>
          <w:rStyle w:val="PO158"/>
          <w:sz w:val="24"/>
          <w:szCs w:val="24"/>
          <w:shd w:val="clear" w:color="auto" w:fill="auto"/>
        </w:rPr>
        <w:t>u</w:t>
      </w:r>
      <w:r>
        <w:rPr>
          <w:rStyle w:val="PO158"/>
          <w:sz w:val="24"/>
          <w:szCs w:val="24"/>
          <w:shd w:val="clear" w:color="auto" w:fill="auto"/>
        </w:rPr>
        <w:t>n</w:t>
      </w:r>
      <w:r>
        <w:rPr>
          <w:rStyle w:val="PO158"/>
          <w:sz w:val="24"/>
          <w:szCs w:val="24"/>
          <w:shd w:val="clear" w:color="auto" w:fill="auto"/>
        </w:rPr>
        <w:t>g</w:t>
      </w:r>
      <w:r>
        <w:rPr>
          <w:rStyle w:val="PO158"/>
          <w:sz w:val="24"/>
          <w:szCs w:val="24"/>
          <w:shd w:val="clear" w:color="auto" w:fill="auto"/>
        </w:rPr>
        <w:t>@</w:t>
      </w:r>
      <w:r>
        <w:rPr>
          <w:rStyle w:val="PO158"/>
          <w:sz w:val="24"/>
          <w:szCs w:val="24"/>
          <w:shd w:val="clear" w:color="auto" w:fill="auto"/>
        </w:rPr>
        <w:t>o</w:t>
      </w:r>
      <w:r>
        <w:rPr>
          <w:rStyle w:val="PO158"/>
          <w:sz w:val="24"/>
          <w:szCs w:val="24"/>
          <w:shd w:val="clear" w:color="auto" w:fill="auto"/>
        </w:rPr>
        <w:t>b</w:t>
      </w:r>
      <w:r>
        <w:rPr>
          <w:rStyle w:val="PO158"/>
          <w:sz w:val="24"/>
          <w:szCs w:val="24"/>
          <w:shd w:val="clear" w:color="auto" w:fill="auto"/>
        </w:rPr>
        <w:t>e</w:t>
      </w:r>
      <w:r>
        <w:rPr>
          <w:rStyle w:val="PO158"/>
          <w:sz w:val="24"/>
          <w:szCs w:val="24"/>
          <w:shd w:val="clear" w:color="auto" w:fill="auto"/>
        </w:rPr>
        <w:t>r</w:t>
      </w:r>
      <w:r>
        <w:rPr>
          <w:rStyle w:val="PO158"/>
          <w:sz w:val="24"/>
          <w:szCs w:val="24"/>
          <w:shd w:val="clear" w:color="auto" w:fill="auto"/>
        </w:rPr>
        <w:t>h</w:t>
      </w:r>
      <w:r>
        <w:rPr>
          <w:rStyle w:val="PO158"/>
          <w:sz w:val="24"/>
          <w:szCs w:val="24"/>
          <w:shd w:val="clear" w:color="auto" w:fill="auto"/>
        </w:rPr>
        <w:t>a</w:t>
      </w:r>
      <w:r>
        <w:rPr>
          <w:rStyle w:val="PO158"/>
          <w:sz w:val="24"/>
          <w:szCs w:val="24"/>
          <w:shd w:val="clear" w:color="auto" w:fill="auto"/>
        </w:rPr>
        <w:t>u</w:t>
      </w:r>
      <w:r>
        <w:rPr>
          <w:rStyle w:val="PO158"/>
          <w:sz w:val="24"/>
          <w:szCs w:val="24"/>
          <w:shd w:val="clear" w:color="auto" w:fill="auto"/>
        </w:rPr>
        <w:t>s</w:t>
      </w:r>
      <w:r>
        <w:rPr>
          <w:rStyle w:val="PO158"/>
          <w:sz w:val="24"/>
          <w:szCs w:val="24"/>
          <w:shd w:val="clear" w:color="auto" w:fill="auto"/>
        </w:rPr>
        <w:t>e</w:t>
      </w:r>
      <w:r>
        <w:rPr>
          <w:rStyle w:val="PO158"/>
          <w:sz w:val="24"/>
          <w:szCs w:val="24"/>
          <w:shd w:val="clear" w:color="auto" w:fill="auto"/>
        </w:rPr>
        <w:t>n</w:t>
      </w:r>
      <w:r>
        <w:rPr>
          <w:rStyle w:val="PO158"/>
          <w:sz w:val="24"/>
          <w:szCs w:val="24"/>
          <w:shd w:val="clear" w:color="auto" w:fill="auto"/>
        </w:rPr>
        <w:t>.</w:t>
      </w:r>
      <w:r>
        <w:rPr>
          <w:rStyle w:val="PO158"/>
          <w:sz w:val="24"/>
          <w:szCs w:val="24"/>
          <w:shd w:val="clear" w:color="auto" w:fill="auto"/>
        </w:rPr>
        <w:t>d</w:t>
      </w:r>
      <w:r>
        <w:rPr>
          <w:rStyle w:val="PO158"/>
          <w:sz w:val="24"/>
          <w:szCs w:val="24"/>
          <w:shd w:val="clear" w:color="auto" w:fill="auto"/>
        </w:rPr>
        <w:t>e</w:t>
      </w:r>
      <w:r>
        <w:rPr>
          <w:sz w:val="24"/>
          <w:szCs w:val="24"/>
          <w:shd w:val="clear" w:color="auto" w:fill="auto"/>
        </w:rPr>
        <w:fldChar w:fldCharType="end"/>
      </w:r>
      <w:r>
        <w:rPr>
          <w:sz w:val="24"/>
          <w:szCs w:val="24"/>
          <w:shd w:val="clear" w:color="auto" w:fill="auto"/>
        </w:rPr>
        <w:t xml:space="preserve"> zugesandt und bestätigt werden muss.</w:t>
      </w:r>
    </w:p>
    <w:p>
      <w:pPr>
        <w:pStyle w:val="PO26"/>
        <w:rPr>
          <w:sz w:val="24"/>
          <w:szCs w:val="24"/>
          <w:shd w:val="clear" w:color="auto" w:fill="auto"/>
        </w:rPr>
      </w:pPr>
    </w:p>
    <w:p>
      <w:pPr>
        <w:pStyle w:val="PO155"/>
        <w:numPr>
          <w:numId w:val="2"/>
          <w:ilvl w:val="0"/>
        </w:numPr>
        <w:jc w:val="both"/>
        <w:spacing w:lineRule="auto" w:line="275"/>
        <w:ind w:left="567" w:right="423" w:hanging="425"/>
        <w:rPr>
          <w:sz w:val="24"/>
          <w:szCs w:val="24"/>
          <w:shd w:val="clear" w:color="auto" w:fill="auto"/>
        </w:rPr>
      </w:pPr>
      <w:r>
        <w:rPr>
          <w:sz w:val="24"/>
          <w:szCs w:val="24"/>
          <w:shd w:val="clear" w:color="auto" w:fill="auto"/>
        </w:rPr>
        <w:t xml:space="preserve">Zwischenabnahme des Fahrzeuges am Ort des Auftragnehmers durch die </w:t>
      </w:r>
      <w:r>
        <w:rPr>
          <w:sz w:val="24"/>
          <w:szCs w:val="24"/>
          <w:shd w:val="clear" w:color="auto" w:fill="auto"/>
        </w:rPr>
        <w:t xml:space="preserve">Berufsfeuerwehr Oberhausen. Der Auftragnehmer erstellt zu jeder </w:t>
      </w:r>
      <w:r>
        <w:rPr>
          <w:sz w:val="24"/>
          <w:szCs w:val="24"/>
          <w:shd w:val="clear" w:color="auto" w:fill="auto"/>
        </w:rPr>
        <w:t xml:space="preserve">Konstruktionsbesprechung (vor Ort oder telefonisch) ein Gesprächsprotokoll in </w:t>
      </w:r>
      <w:r>
        <w:rPr>
          <w:sz w:val="24"/>
          <w:szCs w:val="24"/>
          <w:shd w:val="clear" w:color="auto" w:fill="auto"/>
        </w:rPr>
        <w:t xml:space="preserve">digitaler Form, welches innerhalb von fünf Werktagen dem Auftraggeber </w:t>
      </w:r>
      <w:r>
        <w:rPr>
          <w:sz w:val="24"/>
          <w:szCs w:val="24"/>
          <w:shd w:val="clear" w:color="auto" w:fill="auto"/>
        </w:rPr>
        <w:t xml:space="preserve">(Feuerwehr Oberhausen) per Mail an </w:t>
      </w:r>
      <w:r>
        <w:fldChar w:fldCharType="begin"/>
      </w:r>
      <w:r>
        <w:instrText xml:space="preserve">HYPERLINK "mailto:feuerwehrbeschaffung@oberhausen.de"</w:instrText>
      </w:r>
      <w:r>
        <w:fldChar w:fldCharType="separate"/>
      </w:r>
      <w:r>
        <w:rPr>
          <w:rStyle w:val="PO158"/>
          <w:sz w:val="24"/>
          <w:szCs w:val="24"/>
          <w:shd w:val="clear" w:color="auto" w:fill="auto"/>
        </w:rPr>
        <w:t>f</w:t>
      </w:r>
      <w:r>
        <w:rPr>
          <w:rStyle w:val="PO158"/>
          <w:sz w:val="24"/>
          <w:szCs w:val="24"/>
          <w:shd w:val="clear" w:color="auto" w:fill="auto"/>
        </w:rPr>
        <w:t>e</w:t>
      </w:r>
      <w:r>
        <w:rPr>
          <w:rStyle w:val="PO158"/>
          <w:sz w:val="24"/>
          <w:szCs w:val="24"/>
          <w:shd w:val="clear" w:color="auto" w:fill="auto"/>
        </w:rPr>
        <w:t>u</w:t>
      </w:r>
      <w:r>
        <w:rPr>
          <w:rStyle w:val="PO158"/>
          <w:sz w:val="24"/>
          <w:szCs w:val="24"/>
          <w:shd w:val="clear" w:color="auto" w:fill="auto"/>
        </w:rPr>
        <w:t>e</w:t>
      </w:r>
      <w:r>
        <w:rPr>
          <w:rStyle w:val="PO158"/>
          <w:sz w:val="24"/>
          <w:szCs w:val="24"/>
          <w:shd w:val="clear" w:color="auto" w:fill="auto"/>
        </w:rPr>
        <w:t>r</w:t>
      </w:r>
      <w:r>
        <w:rPr>
          <w:rStyle w:val="PO158"/>
          <w:sz w:val="24"/>
          <w:szCs w:val="24"/>
          <w:shd w:val="clear" w:color="auto" w:fill="auto"/>
        </w:rPr>
        <w:t>w</w:t>
      </w:r>
      <w:r>
        <w:rPr>
          <w:rStyle w:val="PO158"/>
          <w:sz w:val="24"/>
          <w:szCs w:val="24"/>
          <w:shd w:val="clear" w:color="auto" w:fill="auto"/>
        </w:rPr>
        <w:t>e</w:t>
      </w:r>
      <w:r>
        <w:rPr>
          <w:rStyle w:val="PO158"/>
          <w:sz w:val="24"/>
          <w:szCs w:val="24"/>
          <w:shd w:val="clear" w:color="auto" w:fill="auto"/>
        </w:rPr>
        <w:t>h</w:t>
      </w:r>
      <w:r>
        <w:rPr>
          <w:rStyle w:val="PO158"/>
          <w:sz w:val="24"/>
          <w:szCs w:val="24"/>
          <w:shd w:val="clear" w:color="auto" w:fill="auto"/>
        </w:rPr>
        <w:t>r</w:t>
      </w:r>
      <w:r>
        <w:rPr>
          <w:rStyle w:val="PO158"/>
          <w:sz w:val="24"/>
          <w:szCs w:val="24"/>
          <w:shd w:val="clear" w:color="auto" w:fill="auto"/>
        </w:rPr>
        <w:t>b</w:t>
      </w:r>
      <w:r>
        <w:rPr>
          <w:rStyle w:val="PO158"/>
          <w:sz w:val="24"/>
          <w:szCs w:val="24"/>
          <w:shd w:val="clear" w:color="auto" w:fill="auto"/>
        </w:rPr>
        <w:t>e</w:t>
      </w:r>
      <w:r>
        <w:rPr>
          <w:rStyle w:val="PO158"/>
          <w:sz w:val="24"/>
          <w:szCs w:val="24"/>
          <w:shd w:val="clear" w:color="auto" w:fill="auto"/>
        </w:rPr>
        <w:t>s</w:t>
      </w:r>
      <w:r>
        <w:rPr>
          <w:rStyle w:val="PO158"/>
          <w:sz w:val="24"/>
          <w:szCs w:val="24"/>
          <w:shd w:val="clear" w:color="auto" w:fill="auto"/>
        </w:rPr>
        <w:t>c</w:t>
      </w:r>
      <w:r>
        <w:rPr>
          <w:rStyle w:val="PO158"/>
          <w:sz w:val="24"/>
          <w:szCs w:val="24"/>
          <w:shd w:val="clear" w:color="auto" w:fill="auto"/>
        </w:rPr>
        <w:t>h</w:t>
      </w:r>
      <w:r>
        <w:rPr>
          <w:rStyle w:val="PO158"/>
          <w:sz w:val="24"/>
          <w:szCs w:val="24"/>
          <w:shd w:val="clear" w:color="auto" w:fill="auto"/>
        </w:rPr>
        <w:t>a</w:t>
      </w:r>
      <w:r>
        <w:rPr>
          <w:rStyle w:val="PO158"/>
          <w:sz w:val="24"/>
          <w:szCs w:val="24"/>
          <w:shd w:val="clear" w:color="auto" w:fill="auto"/>
        </w:rPr>
        <w:t>f</w:t>
      </w:r>
      <w:r>
        <w:rPr>
          <w:rStyle w:val="PO158"/>
          <w:sz w:val="24"/>
          <w:szCs w:val="24"/>
          <w:shd w:val="clear" w:color="auto" w:fill="auto"/>
        </w:rPr>
        <w:t>f</w:t>
      </w:r>
      <w:r>
        <w:rPr>
          <w:rStyle w:val="PO158"/>
          <w:sz w:val="24"/>
          <w:szCs w:val="24"/>
          <w:shd w:val="clear" w:color="auto" w:fill="auto"/>
        </w:rPr>
        <w:t>u</w:t>
      </w:r>
      <w:r>
        <w:rPr>
          <w:rStyle w:val="PO158"/>
          <w:sz w:val="24"/>
          <w:szCs w:val="24"/>
          <w:shd w:val="clear" w:color="auto" w:fill="auto"/>
        </w:rPr>
        <w:t>n</w:t>
      </w:r>
      <w:r>
        <w:rPr>
          <w:rStyle w:val="PO158"/>
          <w:sz w:val="24"/>
          <w:szCs w:val="24"/>
          <w:shd w:val="clear" w:color="auto" w:fill="auto"/>
        </w:rPr>
        <w:t>g</w:t>
      </w:r>
      <w:r>
        <w:rPr>
          <w:rStyle w:val="PO158"/>
          <w:sz w:val="24"/>
          <w:szCs w:val="24"/>
          <w:shd w:val="clear" w:color="auto" w:fill="auto"/>
        </w:rPr>
        <w:t>@</w:t>
      </w:r>
      <w:r>
        <w:rPr>
          <w:rStyle w:val="PO158"/>
          <w:sz w:val="24"/>
          <w:szCs w:val="24"/>
          <w:shd w:val="clear" w:color="auto" w:fill="auto"/>
        </w:rPr>
        <w:t>o</w:t>
      </w:r>
      <w:r>
        <w:rPr>
          <w:rStyle w:val="PO158"/>
          <w:sz w:val="24"/>
          <w:szCs w:val="24"/>
          <w:shd w:val="clear" w:color="auto" w:fill="auto"/>
        </w:rPr>
        <w:t>b</w:t>
      </w:r>
      <w:r>
        <w:rPr>
          <w:rStyle w:val="PO158"/>
          <w:sz w:val="24"/>
          <w:szCs w:val="24"/>
          <w:shd w:val="clear" w:color="auto" w:fill="auto"/>
        </w:rPr>
        <w:t>e</w:t>
      </w:r>
      <w:r>
        <w:rPr>
          <w:rStyle w:val="PO158"/>
          <w:sz w:val="24"/>
          <w:szCs w:val="24"/>
          <w:shd w:val="clear" w:color="auto" w:fill="auto"/>
        </w:rPr>
        <w:t>r</w:t>
      </w:r>
      <w:r>
        <w:rPr>
          <w:rStyle w:val="PO158"/>
          <w:sz w:val="24"/>
          <w:szCs w:val="24"/>
          <w:shd w:val="clear" w:color="auto" w:fill="auto"/>
        </w:rPr>
        <w:t>h</w:t>
      </w:r>
      <w:r>
        <w:rPr>
          <w:rStyle w:val="PO158"/>
          <w:sz w:val="24"/>
          <w:szCs w:val="24"/>
          <w:shd w:val="clear" w:color="auto" w:fill="auto"/>
        </w:rPr>
        <w:t>a</w:t>
      </w:r>
      <w:r>
        <w:rPr>
          <w:rStyle w:val="PO158"/>
          <w:sz w:val="24"/>
          <w:szCs w:val="24"/>
          <w:shd w:val="clear" w:color="auto" w:fill="auto"/>
        </w:rPr>
        <w:t>u</w:t>
      </w:r>
      <w:r>
        <w:rPr>
          <w:rStyle w:val="PO158"/>
          <w:sz w:val="24"/>
          <w:szCs w:val="24"/>
          <w:shd w:val="clear" w:color="auto" w:fill="auto"/>
        </w:rPr>
        <w:t>s</w:t>
      </w:r>
      <w:r>
        <w:rPr>
          <w:rStyle w:val="PO158"/>
          <w:sz w:val="24"/>
          <w:szCs w:val="24"/>
          <w:shd w:val="clear" w:color="auto" w:fill="auto"/>
        </w:rPr>
        <w:t>e</w:t>
      </w:r>
      <w:r>
        <w:rPr>
          <w:rStyle w:val="PO158"/>
          <w:sz w:val="24"/>
          <w:szCs w:val="24"/>
          <w:shd w:val="clear" w:color="auto" w:fill="auto"/>
        </w:rPr>
        <w:t>n</w:t>
      </w:r>
      <w:r>
        <w:rPr>
          <w:rStyle w:val="PO158"/>
          <w:sz w:val="24"/>
          <w:szCs w:val="24"/>
          <w:shd w:val="clear" w:color="auto" w:fill="auto"/>
        </w:rPr>
        <w:t>.</w:t>
      </w:r>
      <w:r>
        <w:rPr>
          <w:rStyle w:val="PO158"/>
          <w:sz w:val="24"/>
          <w:szCs w:val="24"/>
          <w:shd w:val="clear" w:color="auto" w:fill="auto"/>
        </w:rPr>
        <w:t>d</w:t>
      </w:r>
      <w:r>
        <w:rPr>
          <w:rStyle w:val="PO158"/>
          <w:sz w:val="24"/>
          <w:szCs w:val="24"/>
          <w:shd w:val="clear" w:color="auto" w:fill="auto"/>
        </w:rPr>
        <w:t>e</w:t>
      </w:r>
      <w:r>
        <w:rPr>
          <w:sz w:val="24"/>
          <w:szCs w:val="24"/>
          <w:shd w:val="clear" w:color="auto" w:fill="auto"/>
        </w:rPr>
        <w:fldChar w:fldCharType="end"/>
      </w:r>
      <w:r>
        <w:rPr>
          <w:sz w:val="24"/>
          <w:szCs w:val="24"/>
          <w:shd w:val="clear" w:color="auto" w:fill="auto"/>
        </w:rPr>
        <w:t xml:space="preserve"> </w:t>
      </w:r>
      <w:r>
        <w:rPr>
          <w:sz w:val="24"/>
          <w:szCs w:val="24"/>
          <w:shd w:val="clear" w:color="auto" w:fill="auto"/>
        </w:rPr>
        <w:t xml:space="preserve">zugesandt und bestätigt werden muss.</w:t>
      </w:r>
    </w:p>
    <w:p>
      <w:pPr>
        <w:numPr>
          <w:numId w:val="0"/>
        </w:numPr>
        <w:jc w:val="both"/>
        <w:spacing w:lineRule="auto" w:line="275"/>
        <w:ind w:left="567" w:right="425" w:hanging="425"/>
        <w:rPr>
          <w:sz w:val="24"/>
          <w:szCs w:val="24"/>
          <w:shd w:val="clear" w:color="auto" w:fill="auto"/>
          <w:rFonts w:ascii="Arial" w:hAnsi="Arial" w:cs="Arial"/>
        </w:rPr>
      </w:pPr>
    </w:p>
    <w:p>
      <w:pPr>
        <w:numPr>
          <w:numId w:val="2"/>
          <w:ilvl w:val="0"/>
        </w:numPr>
        <w:jc w:val="both"/>
        <w:spacing w:lineRule="auto" w:line="275"/>
        <w:ind w:left="567" w:right="423" w:hanging="425"/>
        <w:rPr>
          <w:sz w:val="24"/>
          <w:szCs w:val="24"/>
          <w:shd w:val="clear" w:color="auto" w:fill="auto"/>
          <w:rFonts w:ascii="Arial" w:hAnsi="Arial" w:cs="Arial"/>
        </w:rPr>
      </w:pPr>
      <w:bookmarkStart w:id="1" w:name="_Hlk224045470"/>
      <w:r>
        <w:rPr>
          <w:sz w:val="24"/>
          <w:szCs w:val="24"/>
          <w:shd w:val="clear" w:color="auto" w:fill="auto"/>
          <w:rFonts w:ascii="Arial" w:hAnsi="Arial" w:cs="Arial"/>
        </w:rPr>
        <w:t xml:space="preserve">Beauftragte der Berufsfeuerwehr Oberhausen nehmen das Fahrzeug vor der </w:t>
      </w:r>
      <w:r>
        <w:rPr>
          <w:sz w:val="24"/>
          <w:szCs w:val="24"/>
          <w:shd w:val="clear" w:color="auto" w:fill="auto"/>
          <w:rFonts w:ascii="Arial" w:hAnsi="Arial" w:cs="Arial"/>
        </w:rPr>
        <w:t xml:space="preserve">Übergabe beim Auftragnehmer mängelfrei ab. Der Standort einer Endabnahme ist </w:t>
      </w:r>
      <w:r>
        <w:rPr>
          <w:sz w:val="24"/>
          <w:szCs w:val="24"/>
          <w:shd w:val="clear" w:color="auto" w:fill="auto"/>
          <w:rFonts w:ascii="Arial" w:hAnsi="Arial" w:cs="Arial"/>
        </w:rPr>
        <w:t xml:space="preserve">Aufgrund zu überprüfender Funkkomponenten lediglich in Deutschland zulässig. </w:t>
      </w:r>
      <w:r>
        <w:rPr>
          <w:sz w:val="24"/>
          <w:szCs w:val="24"/>
          <w:shd w:val="clear" w:color="auto" w:fill="auto"/>
          <w:rFonts w:ascii="Arial" w:hAnsi="Arial" w:cs="Arial"/>
        </w:rPr>
        <w:t xml:space="preserve">Befindet sich der Auftragnehmer außerhalb Deutschlands, muss das Fahrzeug / die </w:t>
      </w:r>
      <w:r>
        <w:rPr>
          <w:sz w:val="24"/>
          <w:szCs w:val="24"/>
          <w:shd w:val="clear" w:color="auto" w:fill="auto"/>
          <w:rFonts w:ascii="Arial" w:hAnsi="Arial" w:cs="Arial"/>
        </w:rPr>
        <w:t xml:space="preserve">Fahrzeuge via Transportunternehmen zum Ort der Endabnahme überführt werden. </w:t>
      </w:r>
      <w:r>
        <w:rPr>
          <w:sz w:val="24"/>
          <w:szCs w:val="24"/>
          <w:shd w:val="clear" w:color="auto" w:fill="auto"/>
          <w:rFonts w:ascii="Arial" w:hAnsi="Arial" w:cs="Arial"/>
        </w:rPr>
        <w:t xml:space="preserve">Eine Anlieferung auf eigener Achse ist nicht zulässig. In Ausnahmefällen kann hier </w:t>
      </w:r>
      <w:r>
        <w:rPr>
          <w:sz w:val="24"/>
          <w:szCs w:val="24"/>
          <w:shd w:val="clear" w:color="auto" w:fill="auto"/>
          <w:rFonts w:ascii="Arial" w:hAnsi="Arial" w:cs="Arial"/>
        </w:rPr>
        <w:t xml:space="preserve">nach vorheriger Absprache und Dokumentation hiervon abgewichen werden.</w:t>
      </w:r>
      <w:bookmarkEnd w:id="1"/>
    </w:p>
    <w:p>
      <w:pPr>
        <w:rPr>
          <w:sz w:val="24"/>
          <w:szCs w:val="24"/>
          <w:shd w:val="clear" w:color="auto" w:fill="auto"/>
        </w:rPr>
      </w:pPr>
    </w:p>
    <w:p>
      <w:pPr>
        <w:numPr>
          <w:numId w:val="2"/>
          <w:ilvl w:val="0"/>
        </w:numPr>
        <w:jc w:val="both"/>
        <w:spacing w:lineRule="auto" w:line="275"/>
        <w:ind w:left="567" w:right="423" w:hanging="425"/>
        <w:rPr>
          <w:sz w:val="24"/>
          <w:szCs w:val="24"/>
          <w:shd w:val="clear" w:color="auto" w:fill="auto"/>
          <w:rFonts w:ascii="Arial" w:hAnsi="Arial" w:cs="Arial"/>
        </w:rPr>
      </w:pPr>
      <w:r>
        <w:rPr>
          <w:sz w:val="24"/>
          <w:szCs w:val="24"/>
          <w:shd w:val="clear" w:color="auto" w:fill="auto"/>
          <w:rFonts w:ascii="Arial" w:hAnsi="Arial" w:cs="Arial"/>
        </w:rPr>
        <w:t xml:space="preserve">Bei Zertifizierung nach </w:t>
      </w:r>
      <w:r>
        <w:rPr>
          <w:b w:val="1"/>
          <w:sz w:val="24"/>
          <w:szCs w:val="24"/>
          <w:shd w:val="clear" w:color="auto" w:fill="auto"/>
          <w:rFonts w:ascii="Arial" w:hAnsi="Arial" w:cs="Arial"/>
        </w:rPr>
        <w:t xml:space="preserve">ISO 9001</w:t>
      </w:r>
      <w:r>
        <w:rPr>
          <w:sz w:val="24"/>
          <w:szCs w:val="24"/>
          <w:shd w:val="clear" w:color="auto" w:fill="auto"/>
          <w:rFonts w:ascii="Arial" w:hAnsi="Arial" w:cs="Arial"/>
        </w:rPr>
        <w:t xml:space="preserve">, ist eine Kopie der aktuellen Urkunde der </w:t>
      </w:r>
      <w:r>
        <w:rPr>
          <w:sz w:val="24"/>
          <w:szCs w:val="24"/>
          <w:shd w:val="clear" w:color="auto" w:fill="auto"/>
          <w:rFonts w:ascii="Arial" w:hAnsi="Arial" w:cs="Arial"/>
        </w:rPr>
        <w:t xml:space="preserve">Berufsfeuerwehr Oberhausen zuzuschicken.</w:t>
      </w:r>
    </w:p>
    <w:p>
      <w:pPr>
        <w:pStyle w:val="PO155"/>
        <w:numPr>
          <w:numId w:val="0"/>
        </w:numPr>
        <w:jc w:val="both"/>
        <w:spacing w:lineRule="auto" w:line="275"/>
        <w:ind w:left="567" w:right="425" w:hanging="425"/>
        <w:rPr>
          <w:sz w:val="24"/>
          <w:szCs w:val="24"/>
          <w:shd w:val="clear" w:color="auto" w:fill="auto"/>
        </w:rPr>
      </w:pPr>
    </w:p>
    <w:p>
      <w:pPr>
        <w:pStyle w:val="PO155"/>
        <w:numPr>
          <w:numId w:val="2"/>
          <w:ilvl w:val="0"/>
        </w:numPr>
        <w:jc w:val="both"/>
        <w:spacing w:lineRule="auto" w:line="275"/>
        <w:ind w:left="567" w:right="423" w:hanging="425"/>
        <w:tabs>
          <w:tab w:val="left" w:pos="567"/>
        </w:tabs>
        <w:rPr>
          <w:sz w:val="24"/>
          <w:szCs w:val="24"/>
          <w:shd w:val="clear" w:color="auto" w:fill="auto"/>
        </w:rPr>
      </w:pPr>
      <w:r>
        <w:rPr>
          <w:sz w:val="24"/>
          <w:szCs w:val="24"/>
          <w:shd w:val="clear" w:color="auto" w:fill="auto"/>
        </w:rPr>
        <w:t xml:space="preserve">Bei Angebotsabgabe ist eine Gewichtsbilanz (zul. Gesamtgewicht, Leergewicht, </w:t>
      </w:r>
      <w:r>
        <w:rPr>
          <w:sz w:val="24"/>
          <w:szCs w:val="24"/>
          <w:shd w:val="clear" w:color="auto" w:fill="auto"/>
        </w:rPr>
        <w:t xml:space="preserve">Achslast vo./hi.) der Fahrzeuge beizulegen, ohne Gewichtsbilanz                                                                                            </w:t>
      </w:r>
      <w:r>
        <w:rPr>
          <w:sz w:val="24"/>
          <w:szCs w:val="24"/>
          <w:shd w:val="clear" w:color="auto" w:fill="auto"/>
        </w:rPr>
        <w:t xml:space="preserve">kann das Angebot nicht gewertet werden. Die Gewichtsbilanzierung ist bindend. Bei </w:t>
      </w:r>
      <w:r>
        <w:rPr>
          <w:sz w:val="24"/>
          <w:szCs w:val="24"/>
          <w:shd w:val="clear" w:color="auto" w:fill="auto"/>
        </w:rPr>
        <w:t xml:space="preserve">der Gewichtsbilanzierung ist die Fahrzeugbesatzung pro Person mit mind. 100 kg </w:t>
      </w:r>
      <w:r>
        <w:rPr>
          <w:sz w:val="24"/>
          <w:szCs w:val="24"/>
          <w:shd w:val="clear" w:color="auto" w:fill="auto"/>
        </w:rPr>
        <w:t xml:space="preserve">darzustellen. </w:t>
      </w:r>
    </w:p>
    <w:p>
      <w:pPr>
        <w:pStyle w:val="PO26"/>
        <w:rPr>
          <w:sz w:val="24"/>
          <w:szCs w:val="24"/>
          <w:shd w:val="clear" w:color="auto" w:fill="auto"/>
          <w:rFonts w:ascii="Arial" w:hAnsi="Arial" w:cs="Arial"/>
        </w:rPr>
      </w:pPr>
    </w:p>
    <w:p>
      <w:pPr>
        <w:numPr>
          <w:numId w:val="2"/>
          <w:ilvl w:val="0"/>
        </w:numPr>
        <w:jc w:val="both"/>
        <w:spacing w:lineRule="auto" w:line="275"/>
        <w:ind w:left="567" w:right="423" w:hanging="425"/>
        <w:rPr>
          <w:sz w:val="24"/>
          <w:szCs w:val="24"/>
          <w:shd w:val="clear" w:color="auto" w:fill="auto"/>
          <w:rFonts w:ascii="Arial" w:hAnsi="Arial" w:cs="Arial"/>
        </w:rPr>
      </w:pPr>
      <w:r>
        <w:rPr>
          <w:sz w:val="24"/>
          <w:szCs w:val="24"/>
          <w:shd w:val="clear" w:color="auto" w:fill="auto"/>
          <w:rFonts w:ascii="Arial" w:hAnsi="Arial" w:cs="Arial"/>
        </w:rPr>
        <w:t xml:space="preserve">Zudem ist dem Angebot eine aussagekräftige Energiebilanz beizufügen, die den </w:t>
      </w:r>
      <w:r>
        <w:rPr>
          <w:sz w:val="24"/>
          <w:szCs w:val="24"/>
          <w:shd w:val="clear" w:color="auto" w:fill="auto"/>
          <w:rFonts w:ascii="Arial" w:hAnsi="Arial" w:cs="Arial"/>
        </w:rPr>
        <w:t xml:space="preserve">Energieverbrauch bei Betrieb und Stillstand und die Effizienz des Fahrzeugs </w:t>
      </w:r>
      <w:r>
        <w:rPr>
          <w:sz w:val="24"/>
          <w:szCs w:val="24"/>
          <w:shd w:val="clear" w:color="auto" w:fill="auto"/>
          <w:rFonts w:ascii="Arial" w:hAnsi="Arial" w:cs="Arial"/>
        </w:rPr>
        <w:t xml:space="preserve">nachvollziehbar darstellt. </w:t>
      </w:r>
    </w:p>
    <w:p>
      <w:pPr>
        <w:pStyle w:val="PO155"/>
        <w:jc w:val="both"/>
        <w:spacing w:lineRule="auto" w:line="275"/>
        <w:ind w:right="423" w:firstLine="0"/>
        <w:rPr>
          <w:sz w:val="24"/>
          <w:szCs w:val="24"/>
          <w:shd w:val="clear" w:color="auto" w:fill="auto"/>
        </w:rPr>
      </w:pPr>
    </w:p>
    <w:p>
      <w:pPr>
        <w:pStyle w:val="PO155"/>
        <w:numPr>
          <w:numId w:val="2"/>
          <w:ilvl w:val="0"/>
        </w:numPr>
        <w:jc w:val="both"/>
        <w:spacing w:lineRule="auto" w:line="275"/>
        <w:ind w:left="567" w:right="423" w:hanging="425"/>
        <w:tabs>
          <w:tab w:val="left" w:pos="284"/>
        </w:tabs>
        <w:rPr>
          <w:sz w:val="24"/>
          <w:szCs w:val="24"/>
          <w:shd w:val="clear" w:color="auto" w:fill="auto"/>
        </w:rPr>
      </w:pPr>
      <w:r>
        <w:rPr>
          <w:sz w:val="24"/>
          <w:szCs w:val="24"/>
          <w:shd w:val="clear" w:color="auto" w:fill="auto"/>
        </w:rPr>
        <w:t xml:space="preserve">Der Standort, die Organisation und Leistungsfähigkeit des Kundendienstes ist mit </w:t>
      </w:r>
      <w:r>
        <w:rPr>
          <w:sz w:val="24"/>
          <w:szCs w:val="24"/>
          <w:shd w:val="clear" w:color="auto" w:fill="auto"/>
        </w:rPr>
        <w:t xml:space="preserve">Angebotsabgabe darzustellen.</w:t>
      </w:r>
    </w:p>
    <w:p>
      <w:pPr>
        <w:pStyle w:val="PO155"/>
        <w:jc w:val="both"/>
        <w:spacing w:lineRule="auto" w:line="275"/>
        <w:ind w:left="567" w:right="423" w:hanging="425"/>
        <w:tabs>
          <w:tab w:val="left" w:pos="284"/>
        </w:tabs>
        <w:rPr>
          <w:sz w:val="24"/>
          <w:szCs w:val="24"/>
          <w:shd w:val="clear" w:color="auto" w:fill="auto"/>
        </w:rPr>
      </w:pPr>
    </w:p>
    <w:p>
      <w:pPr>
        <w:pStyle w:val="PO155"/>
        <w:numPr>
          <w:numId w:val="2"/>
          <w:ilvl w:val="0"/>
        </w:numPr>
        <w:jc w:val="both"/>
        <w:spacing w:lineRule="auto" w:line="275"/>
        <w:ind w:left="567" w:right="423" w:hanging="425"/>
        <w:tabs>
          <w:tab w:val="left" w:pos="567"/>
        </w:tabs>
        <w:rPr>
          <w:sz w:val="24"/>
          <w:szCs w:val="24"/>
          <w:shd w:val="clear" w:color="auto" w:fill="auto"/>
        </w:rPr>
      </w:pPr>
      <w:r>
        <w:rPr>
          <w:sz w:val="24"/>
          <w:szCs w:val="24"/>
          <w:shd w:val="clear" w:color="auto" w:fill="auto"/>
        </w:rPr>
        <w:t xml:space="preserve">Das Nichtanbieten einer Position des Leistungsverzeichnisses ist ein </w:t>
      </w:r>
      <w:r>
        <w:rPr>
          <w:sz w:val="24"/>
          <w:szCs w:val="24"/>
          <w:shd w:val="clear" w:color="auto" w:fill="auto"/>
        </w:rPr>
        <w:t>Ausschlusskriterium.</w:t>
      </w:r>
    </w:p>
    <w:p>
      <w:pPr>
        <w:pStyle w:val="PO26"/>
        <w:jc w:val="both"/>
        <w:spacing w:lineRule="auto" w:line="275"/>
        <w:ind w:right="423" w:firstLine="0"/>
        <w:rPr>
          <w:sz w:val="24"/>
          <w:szCs w:val="24"/>
          <w:shd w:val="clear" w:color="auto" w:fill="auto"/>
          <w:rFonts w:ascii="Arial" w:hAnsi="Arial" w:cs="Arial"/>
        </w:rPr>
      </w:pPr>
    </w:p>
    <w:p>
      <w:pPr>
        <w:pStyle w:val="PO155"/>
        <w:numPr>
          <w:numId w:val="2"/>
          <w:ilvl w:val="0"/>
        </w:numPr>
        <w:jc w:val="both"/>
        <w:spacing w:lineRule="auto" w:line="275"/>
        <w:ind w:left="567" w:right="423" w:hanging="425"/>
        <w:tabs>
          <w:tab w:val="left" w:pos="567"/>
        </w:tabs>
        <w:rPr>
          <w:sz w:val="24"/>
          <w:szCs w:val="24"/>
          <w:shd w:val="clear" w:color="auto" w:fill="auto"/>
        </w:rPr>
      </w:pPr>
      <w:r>
        <w:rPr>
          <w:sz w:val="24"/>
          <w:szCs w:val="24"/>
          <w:shd w:val="clear" w:color="auto" w:fill="auto"/>
        </w:rPr>
        <w:t xml:space="preserve">Aus Gründen der Systemkompatibilität zum Gerätebestand der Feuerwehr </w:t>
      </w:r>
      <w:r>
        <w:rPr>
          <w:sz w:val="24"/>
          <w:szCs w:val="24"/>
          <w:shd w:val="clear" w:color="auto" w:fill="auto"/>
        </w:rPr>
        <w:t xml:space="preserve">Oberhausen sind nur die angegebenen Typen/Fabrikate an zu bieten.</w:t>
      </w:r>
    </w:p>
    <w:p>
      <w:pPr>
        <w:pStyle w:val="PO155"/>
        <w:jc w:val="both"/>
        <w:spacing w:lineRule="auto" w:line="275"/>
        <w:ind w:right="423" w:firstLine="0"/>
        <w:tabs>
          <w:tab w:val="left" w:pos="567"/>
        </w:tabs>
        <w:rPr>
          <w:sz w:val="24"/>
          <w:szCs w:val="24"/>
          <w:shd w:val="clear" w:color="auto" w:fill="auto"/>
        </w:rPr>
      </w:pPr>
    </w:p>
    <w:p>
      <w:pPr>
        <w:pStyle w:val="PO155"/>
        <w:numPr>
          <w:numId w:val="2"/>
          <w:ilvl w:val="0"/>
        </w:numPr>
        <w:jc w:val="both"/>
        <w:spacing w:lineRule="auto" w:line="275"/>
        <w:ind w:left="567" w:right="423" w:hanging="425"/>
        <w:tabs>
          <w:tab w:val="left" w:pos="567"/>
        </w:tabs>
        <w:rPr>
          <w:sz w:val="24"/>
          <w:szCs w:val="24"/>
          <w:shd w:val="clear" w:color="auto" w:fill="auto"/>
        </w:rPr>
      </w:pPr>
      <w:r>
        <w:rPr>
          <w:sz w:val="24"/>
          <w:szCs w:val="24"/>
          <w:shd w:val="clear" w:color="auto" w:fill="auto"/>
        </w:rPr>
        <w:t xml:space="preserve">Sofortige Zusendung der benötigten Unterlagen, für die Beantragung einer     </w:t>
      </w:r>
      <w:r>
        <w:rPr>
          <w:sz w:val="24"/>
          <w:szCs w:val="24"/>
          <w:shd w:val="clear" w:color="auto" w:fill="auto"/>
        </w:rPr>
        <w:t xml:space="preserve">Ausnahmegenehmigung nach §70 STVZO, nach technischer Überprüfung   durch </w:t>
      </w:r>
      <w:r>
        <w:rPr>
          <w:sz w:val="24"/>
          <w:szCs w:val="24"/>
          <w:shd w:val="clear" w:color="auto" w:fill="auto"/>
        </w:rPr>
        <w:t xml:space="preserve">den TÜV. Benötigte Unterlagen sind folgende: Original   Zulassungsbescheinigung </w:t>
      </w:r>
      <w:r>
        <w:rPr>
          <w:sz w:val="24"/>
          <w:szCs w:val="24"/>
          <w:shd w:val="clear" w:color="auto" w:fill="auto"/>
        </w:rPr>
        <w:t xml:space="preserve">Teil II, Original Gutachten der Hauptuntersuchung mit Dokumentation der </w:t>
      </w:r>
      <w:r>
        <w:rPr>
          <w:sz w:val="24"/>
          <w:szCs w:val="24"/>
          <w:shd w:val="clear" w:color="auto" w:fill="auto"/>
        </w:rPr>
        <w:t xml:space="preserve">Sondereintragungen, Original Gutachten zur Erlangung einer </w:t>
      </w:r>
      <w:r>
        <w:rPr>
          <w:sz w:val="24"/>
          <w:szCs w:val="24"/>
          <w:shd w:val="clear" w:color="auto" w:fill="auto"/>
        </w:rPr>
        <w:t xml:space="preserve">Ausnahmegenehmigung nach §70 STVZO, 3 Farbfotos (Front-, Seiten-, und </w:t>
      </w:r>
      <w:r>
        <w:rPr>
          <w:sz w:val="24"/>
          <w:szCs w:val="24"/>
          <w:shd w:val="clear" w:color="auto" w:fill="auto"/>
        </w:rPr>
        <w:t xml:space="preserve">Heckansicht) und alle sonstigen Dokumente zur Inbetriebnahme des Fahrzeugs </w:t>
      </w:r>
      <w:r>
        <w:rPr>
          <w:sz w:val="24"/>
          <w:szCs w:val="24"/>
          <w:shd w:val="clear" w:color="auto" w:fill="auto"/>
        </w:rPr>
        <w:t xml:space="preserve">durch die zuständige Zulassungsbehörde.</w:t>
      </w:r>
    </w:p>
    <w:p>
      <w:pPr>
        <w:pStyle w:val="PO155"/>
        <w:jc w:val="both"/>
        <w:spacing w:lineRule="auto" w:line="275"/>
        <w:ind w:left="283" w:right="423" w:firstLine="0"/>
        <w:tabs>
          <w:tab w:val="left" w:pos="567"/>
        </w:tabs>
        <w:rPr>
          <w:sz w:val="24"/>
          <w:szCs w:val="24"/>
          <w:shd w:val="clear" w:color="auto" w:fill="auto"/>
        </w:rPr>
      </w:pPr>
    </w:p>
    <w:p>
      <w:pPr>
        <w:pStyle w:val="PO155"/>
        <w:numPr>
          <w:numId w:val="2"/>
          <w:ilvl w:val="0"/>
        </w:numPr>
        <w:jc w:val="both"/>
        <w:spacing w:lineRule="auto" w:line="275"/>
        <w:ind w:left="567" w:right="423" w:hanging="567"/>
        <w:tabs>
          <w:tab w:val="left" w:pos="567"/>
        </w:tabs>
        <w:rPr>
          <w:sz w:val="24"/>
          <w:szCs w:val="24"/>
          <w:shd w:val="clear" w:color="auto" w:fill="auto"/>
        </w:rPr>
      </w:pPr>
      <w:r>
        <w:rPr>
          <w:sz w:val="24"/>
          <w:szCs w:val="24"/>
          <w:shd w:val="clear" w:color="auto" w:fill="auto"/>
        </w:rPr>
        <w:t xml:space="preserve">Der Auftragnehmer hat beim Institut der Feuerwehr des Landes Nordrhein-</w:t>
      </w:r>
      <w:r>
        <w:rPr>
          <w:sz w:val="24"/>
          <w:szCs w:val="24"/>
          <w:shd w:val="clear" w:color="auto" w:fill="auto"/>
        </w:rPr>
        <w:t xml:space="preserve">Westfalen eine technische Abnahme durch das „Technische Kompetenzzentrum“ </w:t>
      </w:r>
      <w:r>
        <w:rPr>
          <w:sz w:val="24"/>
          <w:szCs w:val="24"/>
          <w:shd w:val="clear" w:color="auto" w:fill="auto"/>
        </w:rPr>
        <w:t xml:space="preserve">zu beantragen und kurz vor der Endabnahme durch die Feuerwehr Oberhausen </w:t>
      </w:r>
      <w:r>
        <w:rPr>
          <w:sz w:val="24"/>
          <w:szCs w:val="24"/>
          <w:shd w:val="clear" w:color="auto" w:fill="auto"/>
        </w:rPr>
        <w:t xml:space="preserve">durchzuführen. Das Protokoll muss dem Auftraggeber innerhalb von 5 Werktagen </w:t>
      </w:r>
      <w:r>
        <w:rPr>
          <w:sz w:val="24"/>
          <w:szCs w:val="24"/>
          <w:shd w:val="clear" w:color="auto" w:fill="auto"/>
        </w:rPr>
        <w:t xml:space="preserve">jedoch vor der Endabnahme durch die Feuerwehr Oberhausen in digitaler Form </w:t>
      </w:r>
      <w:r>
        <w:rPr>
          <w:sz w:val="24"/>
          <w:szCs w:val="24"/>
          <w:shd w:val="clear" w:color="auto" w:fill="auto"/>
        </w:rPr>
        <w:t xml:space="preserve">vorliegen. </w:t>
      </w:r>
    </w:p>
    <w:p>
      <w:pPr>
        <w:pStyle w:val="PO155"/>
        <w:jc w:val="both"/>
        <w:spacing w:lineRule="auto" w:line="275"/>
        <w:ind w:right="423" w:firstLine="0"/>
        <w:tabs>
          <w:tab w:val="left" w:pos="567"/>
        </w:tabs>
        <w:rPr>
          <w:sz w:val="24"/>
          <w:szCs w:val="24"/>
          <w:shd w:val="clear" w:color="auto" w:fill="auto"/>
        </w:rPr>
      </w:pPr>
    </w:p>
    <w:p>
      <w:pPr>
        <w:pStyle w:val="PO155"/>
        <w:numPr>
          <w:numId w:val="2"/>
          <w:ilvl w:val="0"/>
        </w:numPr>
        <w:jc w:val="both"/>
        <w:spacing w:lineRule="auto" w:line="275"/>
        <w:ind w:left="567" w:right="423" w:hanging="567"/>
        <w:tabs>
          <w:tab w:val="left" w:pos="284"/>
        </w:tabs>
        <w:rPr>
          <w:sz w:val="24"/>
          <w:szCs w:val="24"/>
          <w:shd w:val="clear" w:color="auto" w:fill="auto"/>
        </w:rPr>
      </w:pPr>
      <w:r>
        <w:rPr>
          <w:sz w:val="24"/>
          <w:szCs w:val="24"/>
          <w:shd w:val="clear" w:color="auto" w:fill="auto"/>
        </w:rPr>
        <w:t xml:space="preserve">Die fortlaufenden Zahlen der einzelnen Positionen im Leistungsverzeichnis sind für </w:t>
      </w:r>
      <w:r>
        <w:rPr>
          <w:sz w:val="24"/>
          <w:szCs w:val="24"/>
          <w:shd w:val="clear" w:color="auto" w:fill="auto"/>
        </w:rPr>
        <w:t xml:space="preserve">die weiteren Bearbeitungsabschnitte, Besprechungen etc. zu übernehmen oder ggf. </w:t>
      </w:r>
      <w:r>
        <w:rPr>
          <w:sz w:val="24"/>
          <w:szCs w:val="24"/>
          <w:shd w:val="clear" w:color="auto" w:fill="auto"/>
        </w:rPr>
        <w:t xml:space="preserve">zusätzlich mit anzugeben.</w:t>
      </w:r>
    </w:p>
    <w:p>
      <w:pPr>
        <w:pStyle w:val="PO26"/>
        <w:rPr>
          <w:sz w:val="24"/>
          <w:szCs w:val="24"/>
          <w:shd w:val="clear" w:color="auto" w:fill="auto"/>
        </w:rPr>
      </w:pPr>
    </w:p>
    <w:p>
      <w:pPr>
        <w:pStyle w:val="PO155"/>
        <w:numPr>
          <w:numId w:val="2"/>
          <w:ilvl w:val="0"/>
        </w:numPr>
        <w:jc w:val="both"/>
        <w:spacing w:lineRule="auto" w:line="275"/>
        <w:ind w:left="567" w:right="423" w:hanging="567"/>
        <w:tabs>
          <w:tab w:val="left" w:pos="284"/>
        </w:tabs>
        <w:rPr>
          <w:sz w:val="24"/>
          <w:szCs w:val="24"/>
          <w:shd w:val="clear" w:color="auto" w:fill="auto"/>
        </w:rPr>
      </w:pPr>
      <w:r>
        <w:rPr>
          <w:sz w:val="24"/>
          <w:szCs w:val="24"/>
          <w:shd w:val="clear" w:color="auto" w:fill="auto"/>
        </w:rPr>
        <w:t xml:space="preserve">Der Auftragnehmer hat für alle Besprechungen Protokolle zu führen und dem </w:t>
      </w:r>
      <w:r>
        <w:rPr>
          <w:sz w:val="24"/>
          <w:szCs w:val="24"/>
          <w:shd w:val="clear" w:color="auto" w:fill="auto"/>
        </w:rPr>
        <w:t xml:space="preserve">Auftraggeber spätestens 5 Werktage nach den jeweiligen Besprechungen zur </w:t>
      </w:r>
      <w:r>
        <w:rPr>
          <w:sz w:val="24"/>
          <w:szCs w:val="24"/>
          <w:shd w:val="clear" w:color="auto" w:fill="auto"/>
        </w:rPr>
        <w:t xml:space="preserve">Verfügung zu stellen.</w:t>
      </w:r>
    </w:p>
    <w:p>
      <w:pPr>
        <w:pStyle w:val="PO26"/>
        <w:rPr>
          <w:sz w:val="24"/>
          <w:szCs w:val="24"/>
          <w:shd w:val="clear" w:color="auto" w:fill="auto"/>
        </w:rPr>
      </w:pPr>
    </w:p>
    <w:p>
      <w:pPr>
        <w:pStyle w:val="PO155"/>
        <w:numPr>
          <w:numId w:val="2"/>
          <w:ilvl w:val="0"/>
        </w:numPr>
        <w:jc w:val="both"/>
        <w:spacing w:lineRule="auto" w:line="275"/>
        <w:ind w:left="567" w:right="423" w:hanging="567"/>
        <w:tabs>
          <w:tab w:val="left" w:pos="284"/>
        </w:tabs>
        <w:rPr>
          <w:sz w:val="24"/>
          <w:szCs w:val="24"/>
          <w:shd w:val="clear" w:color="auto" w:fill="auto"/>
        </w:rPr>
      </w:pPr>
      <w:r>
        <w:rPr>
          <w:sz w:val="24"/>
          <w:szCs w:val="24"/>
          <w:shd w:val="clear" w:color="auto" w:fill="auto"/>
        </w:rPr>
        <w:t xml:space="preserve">Das geltende Recht, sowie Bestimmungen etc. des Landes Nordrhein-Westfalen </w:t>
      </w:r>
      <w:r>
        <w:rPr>
          <w:sz w:val="24"/>
          <w:szCs w:val="24"/>
          <w:shd w:val="clear" w:color="auto" w:fill="auto"/>
        </w:rPr>
        <w:t xml:space="preserve">sind anzuwenden. </w:t>
      </w:r>
    </w:p>
    <w:p>
      <w:pPr>
        <w:rPr>
          <w:sz w:val="24"/>
          <w:szCs w:val="24"/>
          <w:shd w:val="clear" w:color="auto" w:fill="auto"/>
        </w:rPr>
      </w:pPr>
    </w:p>
    <w:p>
      <w:pPr>
        <w:pStyle w:val="PO155"/>
        <w:numPr>
          <w:numId w:val="2"/>
          <w:ilvl w:val="0"/>
        </w:numPr>
        <w:jc w:val="both"/>
        <w:spacing w:lineRule="auto" w:line="275"/>
        <w:ind w:left="567" w:right="423" w:hanging="567"/>
        <w:tabs>
          <w:tab w:val="left" w:pos="284"/>
        </w:tabs>
        <w:rPr>
          <w:sz w:val="24"/>
          <w:szCs w:val="24"/>
          <w:shd w:val="clear" w:color="auto" w:fill="auto"/>
        </w:rPr>
      </w:pPr>
      <w:r>
        <w:rPr>
          <w:sz w:val="24"/>
          <w:szCs w:val="24"/>
          <w:shd w:val="clear" w:color="auto" w:fill="auto"/>
        </w:rPr>
        <w:t xml:space="preserve">Das Fahrzeug muss zum Zeitpunkt der Auslieferung der </w:t>
      </w:r>
      <w:r>
        <w:rPr>
          <w:sz w:val="24"/>
          <w:szCs w:val="24"/>
          <w:shd w:val="clear" w:color="auto" w:fill="auto"/>
        </w:rPr>
        <w:t xml:space="preserve">Straßenverkehrszulassungsordnung (StVZO) entsprechen. Die technische </w:t>
      </w:r>
      <w:r>
        <w:rPr>
          <w:sz w:val="24"/>
          <w:szCs w:val="24"/>
          <w:shd w:val="clear" w:color="auto" w:fill="auto"/>
        </w:rPr>
        <w:t xml:space="preserve">Ausführung des Fahrzeugs nach DIN EN und der Elektroanlagen nach VDE muss </w:t>
      </w:r>
      <w:r>
        <w:rPr>
          <w:sz w:val="24"/>
          <w:szCs w:val="24"/>
          <w:shd w:val="clear" w:color="auto" w:fill="auto"/>
        </w:rPr>
        <w:t xml:space="preserve">die Abnahmekriterien des Landes Nordrhein-Westfalen erfüllen.</w:t>
      </w:r>
    </w:p>
    <w:p>
      <w:pPr>
        <w:pStyle w:val="PO26"/>
        <w:rPr>
          <w:sz w:val="24"/>
          <w:szCs w:val="24"/>
          <w:shd w:val="clear" w:color="auto" w:fill="auto"/>
        </w:rPr>
      </w:pPr>
    </w:p>
    <w:p>
      <w:pPr>
        <w:pStyle w:val="PO155"/>
        <w:numPr>
          <w:numId w:val="2"/>
          <w:ilvl w:val="0"/>
        </w:numPr>
        <w:jc w:val="both"/>
        <w:spacing w:lineRule="auto" w:line="275"/>
        <w:ind w:left="567" w:right="423" w:hanging="567"/>
        <w:tabs>
          <w:tab w:val="left" w:pos="284"/>
        </w:tabs>
        <w:rPr>
          <w:sz w:val="24"/>
          <w:szCs w:val="24"/>
          <w:shd w:val="clear" w:color="auto" w:fill="auto"/>
        </w:rPr>
      </w:pPr>
      <w:r>
        <w:rPr>
          <w:sz w:val="24"/>
          <w:szCs w:val="24"/>
          <w:shd w:val="clear" w:color="auto" w:fill="auto"/>
        </w:rPr>
        <w:t xml:space="preserve">Weist die erbrachte Leistung Mängel auf, so kann der Auftraggeber kurzfristige </w:t>
      </w:r>
      <w:r>
        <w:rPr>
          <w:sz w:val="24"/>
          <w:szCs w:val="24"/>
          <w:shd w:val="clear" w:color="auto" w:fill="auto"/>
        </w:rPr>
        <w:t xml:space="preserve">Vertragserfüllung durch Nachbesserung verlangen. Nachbesserungen haben </w:t>
      </w:r>
      <w:r>
        <w:rPr>
          <w:sz w:val="24"/>
          <w:szCs w:val="24"/>
          <w:shd w:val="clear" w:color="auto" w:fill="auto"/>
        </w:rPr>
        <w:t xml:space="preserve">unverzüglich nach den technischen Erfordernissen durch Ersatz oder </w:t>
      </w:r>
      <w:r>
        <w:rPr>
          <w:sz w:val="24"/>
          <w:szCs w:val="24"/>
          <w:shd w:val="clear" w:color="auto" w:fill="auto"/>
        </w:rPr>
        <w:t xml:space="preserve">Instandsetzung fehlerhafter Teile ohne Berechnung der hierzu notwendigen Lohn-, </w:t>
      </w:r>
      <w:r>
        <w:rPr>
          <w:sz w:val="24"/>
          <w:szCs w:val="24"/>
          <w:shd w:val="clear" w:color="auto" w:fill="auto"/>
        </w:rPr>
        <w:t xml:space="preserve">Material-, Fracht- und Überführungskosten zu erfolgen. </w:t>
      </w:r>
    </w:p>
    <w:p>
      <w:pPr>
        <w:pStyle w:val="PO26"/>
        <w:rPr>
          <w:sz w:val="24"/>
          <w:szCs w:val="24"/>
          <w:shd w:val="clear" w:color="auto" w:fill="auto"/>
        </w:rPr>
      </w:pPr>
    </w:p>
    <w:p>
      <w:pPr>
        <w:pStyle w:val="PO155"/>
        <w:jc w:val="both"/>
        <w:spacing w:lineRule="auto" w:line="275"/>
        <w:ind w:left="567" w:right="423" w:firstLine="0"/>
        <w:tabs>
          <w:tab w:val="left" w:pos="284"/>
        </w:tabs>
        <w:rPr>
          <w:sz w:val="24"/>
          <w:szCs w:val="24"/>
          <w:shd w:val="clear" w:color="auto" w:fill="auto"/>
        </w:rPr>
      </w:pPr>
      <w:r>
        <w:rPr>
          <w:sz w:val="24"/>
          <w:szCs w:val="24"/>
          <w:shd w:val="clear" w:color="auto" w:fill="auto"/>
        </w:rPr>
        <w:t xml:space="preserve">Der Auftragnehmer ist verpflichtet, Teile, die er durch andere ersetzt zu seinen </w:t>
      </w:r>
      <w:r>
        <w:rPr>
          <w:sz w:val="24"/>
          <w:szCs w:val="24"/>
          <w:shd w:val="clear" w:color="auto" w:fill="auto"/>
        </w:rPr>
        <w:t xml:space="preserve">Lasten zurückzunehmen. </w:t>
      </w:r>
    </w:p>
    <w:p>
      <w:pPr>
        <w:pStyle w:val="PO155"/>
        <w:jc w:val="both"/>
        <w:spacing w:lineRule="auto" w:line="275"/>
        <w:ind w:left="567" w:right="423" w:firstLine="0"/>
        <w:tabs>
          <w:tab w:val="left" w:pos="284"/>
        </w:tabs>
        <w:rPr>
          <w:sz w:val="24"/>
          <w:szCs w:val="24"/>
          <w:shd w:val="clear" w:color="auto" w:fill="auto"/>
        </w:rPr>
      </w:pPr>
    </w:p>
    <w:p>
      <w:pPr>
        <w:pStyle w:val="PO155"/>
        <w:jc w:val="both"/>
        <w:spacing w:lineRule="auto" w:line="275"/>
        <w:ind w:left="567" w:right="423" w:firstLine="0"/>
        <w:tabs>
          <w:tab w:val="left" w:pos="284"/>
        </w:tabs>
        <w:rPr>
          <w:sz w:val="24"/>
          <w:szCs w:val="24"/>
          <w:shd w:val="clear" w:color="auto" w:fill="auto"/>
        </w:rPr>
      </w:pPr>
      <w:r>
        <w:rPr>
          <w:sz w:val="24"/>
          <w:szCs w:val="24"/>
          <w:shd w:val="clear" w:color="auto" w:fill="auto"/>
        </w:rPr>
        <w:t xml:space="preserve">Werden die durch die Nachbesserung zusätzlich vom Hersteller vorgeschriebene </w:t>
      </w:r>
      <w:r>
        <w:rPr>
          <w:sz w:val="24"/>
          <w:szCs w:val="24"/>
          <w:shd w:val="clear" w:color="auto" w:fill="auto"/>
        </w:rPr>
        <w:t xml:space="preserve">Wartungsarbeiten erforderlich, müssen auch diese Kosten einschließlich der </w:t>
      </w:r>
      <w:r>
        <w:rPr>
          <w:sz w:val="24"/>
          <w:szCs w:val="24"/>
          <w:shd w:val="clear" w:color="auto" w:fill="auto"/>
        </w:rPr>
        <w:t xml:space="preserve">anfallenden Kosten für die benötigten Materialien, Betriebs- und Verbrauchsmittel </w:t>
      </w:r>
      <w:r>
        <w:rPr>
          <w:sz w:val="24"/>
          <w:szCs w:val="24"/>
          <w:shd w:val="clear" w:color="auto" w:fill="auto"/>
        </w:rPr>
        <w:t xml:space="preserve">(z.B. Schmierstoffe) vom Auftragnehmer getragen werden. </w:t>
      </w:r>
    </w:p>
    <w:p>
      <w:pPr>
        <w:pStyle w:val="PO155"/>
        <w:jc w:val="both"/>
        <w:spacing w:lineRule="auto" w:line="275"/>
        <w:ind w:right="423" w:firstLine="0"/>
        <w:tabs>
          <w:tab w:val="left" w:pos="284"/>
        </w:tabs>
        <w:rPr>
          <w:sz w:val="24"/>
          <w:szCs w:val="24"/>
          <w:shd w:val="clear" w:color="auto" w:fill="auto"/>
        </w:rPr>
      </w:pPr>
    </w:p>
    <w:p>
      <w:pPr>
        <w:pStyle w:val="PO155"/>
        <w:jc w:val="both"/>
        <w:spacing w:lineRule="auto" w:line="275"/>
        <w:ind w:left="567" w:right="423" w:firstLine="0"/>
        <w:tabs>
          <w:tab w:val="left" w:pos="284"/>
        </w:tabs>
        <w:rPr>
          <w:sz w:val="24"/>
          <w:szCs w:val="24"/>
          <w:shd w:val="clear" w:color="auto" w:fill="auto"/>
        </w:rPr>
      </w:pPr>
      <w:r>
        <w:rPr>
          <w:sz w:val="24"/>
          <w:szCs w:val="24"/>
          <w:shd w:val="clear" w:color="auto" w:fill="auto"/>
        </w:rPr>
        <w:t xml:space="preserve">Das Fahrzeug ist für die Zwecke der Nachbesserungen vom Standort abzuholen </w:t>
      </w:r>
      <w:r>
        <w:rPr>
          <w:sz w:val="24"/>
          <w:szCs w:val="24"/>
          <w:shd w:val="clear" w:color="auto" w:fill="auto"/>
        </w:rPr>
        <w:t xml:space="preserve">und nach Durchführung der notwendigen Arbeiten zurückzubringen. Dem </w:t>
      </w:r>
      <w:r>
        <w:rPr>
          <w:sz w:val="24"/>
          <w:szCs w:val="24"/>
          <w:shd w:val="clear" w:color="auto" w:fill="auto"/>
        </w:rPr>
        <w:t xml:space="preserve">Auftraggeber dürfen dafür keine Kosten entstehen. </w:t>
      </w:r>
    </w:p>
    <w:p>
      <w:pPr>
        <w:pStyle w:val="PO155"/>
        <w:jc w:val="both"/>
        <w:spacing w:lineRule="auto" w:line="275"/>
        <w:ind w:left="567" w:right="423" w:firstLine="0"/>
        <w:tabs>
          <w:tab w:val="left" w:pos="284"/>
        </w:tabs>
        <w:rPr>
          <w:sz w:val="24"/>
          <w:szCs w:val="24"/>
          <w:shd w:val="clear" w:color="auto" w:fill="auto"/>
        </w:rPr>
      </w:pPr>
    </w:p>
    <w:p>
      <w:pPr>
        <w:pStyle w:val="PO155"/>
        <w:numPr>
          <w:numId w:val="2"/>
          <w:ilvl w:val="0"/>
        </w:numPr>
        <w:jc w:val="both"/>
        <w:spacing w:lineRule="auto" w:line="275"/>
        <w:ind w:left="425" w:right="425" w:hanging="425"/>
        <w:tabs>
          <w:tab w:val="left" w:pos="284"/>
        </w:tabs>
        <w:rPr>
          <w:sz w:val="24"/>
          <w:szCs w:val="24"/>
          <w:shd w:val="clear" w:color="auto" w:fill="auto"/>
        </w:rPr>
      </w:pPr>
      <w:r>
        <w:rPr>
          <w:sz w:val="24"/>
          <w:szCs w:val="24"/>
          <w:shd w:val="clear" w:color="auto" w:fill="auto"/>
        </w:rPr>
        <w:t xml:space="preserve">Das Fahrzeug ist bei der Endabnahme mit sämtlichen Gegenständen vollständig </w:t>
      </w:r>
      <w:r>
        <w:rPr>
          <w:sz w:val="24"/>
          <w:szCs w:val="24"/>
          <w:shd w:val="clear" w:color="auto" w:fill="auto"/>
        </w:rPr>
        <w:t xml:space="preserve">auszustatten. Alle Ausstattungsgegenstände sind verkehrssicher und </w:t>
      </w:r>
      <w:r>
        <w:rPr>
          <w:sz w:val="24"/>
          <w:szCs w:val="24"/>
          <w:shd w:val="clear" w:color="auto" w:fill="auto"/>
        </w:rPr>
        <w:t xml:space="preserve">ordnungsgemäß im Fahrzeug zu verstauen, um die Sicherheit im Straßenverkehr zu </w:t>
      </w:r>
      <w:r>
        <w:rPr>
          <w:sz w:val="24"/>
          <w:szCs w:val="24"/>
          <w:shd w:val="clear" w:color="auto" w:fill="auto"/>
        </w:rPr>
        <w:t xml:space="preserve">gewährleisten. Die ordnungsgemäße Sicherung der Gegenstände ist vor der </w:t>
      </w:r>
      <w:r>
        <w:rPr>
          <w:sz w:val="24"/>
          <w:szCs w:val="24"/>
          <w:shd w:val="clear" w:color="auto" w:fill="auto"/>
        </w:rPr>
        <w:t xml:space="preserve">Übergabe an den Auftraggeber zu überprüfen und nachzuweisen.</w:t>
      </w:r>
    </w:p>
    <w:p>
      <w:pPr>
        <w:pStyle w:val="PO155"/>
        <w:jc w:val="both"/>
        <w:spacing w:lineRule="auto" w:line="275"/>
        <w:ind w:left="425" w:right="425" w:firstLine="0"/>
        <w:tabs>
          <w:tab w:val="left" w:pos="284"/>
        </w:tabs>
        <w:rPr>
          <w:sz w:val="24"/>
          <w:szCs w:val="24"/>
          <w:shd w:val="clear" w:color="auto" w:fill="auto"/>
        </w:rPr>
      </w:pPr>
    </w:p>
    <w:p>
      <w:pPr>
        <w:pStyle w:val="PO155"/>
        <w:numPr>
          <w:numId w:val="2"/>
          <w:ilvl w:val="0"/>
        </w:numPr>
        <w:jc w:val="both"/>
        <w:spacing w:lineRule="auto" w:line="275"/>
        <w:ind w:left="425" w:right="425" w:hanging="425"/>
        <w:tabs>
          <w:tab w:val="left" w:pos="284"/>
        </w:tabs>
        <w:rPr>
          <w:sz w:val="24"/>
          <w:szCs w:val="24"/>
          <w:shd w:val="clear" w:color="auto" w:fill="auto"/>
        </w:rPr>
      </w:pPr>
      <w:r>
        <w:rPr>
          <w:sz w:val="24"/>
          <w:szCs w:val="24"/>
          <w:shd w:val="clear" w:color="auto" w:fill="auto"/>
        </w:rPr>
        <w:t xml:space="preserve">Der Auftraggeber behält sich das Recht vor, das Fahrzeug im Falle fehlender </w:t>
      </w:r>
      <w:r>
        <w:rPr>
          <w:sz w:val="24"/>
          <w:szCs w:val="24"/>
          <w:shd w:val="clear" w:color="auto" w:fill="auto"/>
        </w:rPr>
        <w:t xml:space="preserve">Vollständigkeit oder festgestellter Mängel nicht abzunehmen. In diesem Fall trägt der </w:t>
      </w:r>
      <w:r>
        <w:rPr>
          <w:sz w:val="24"/>
          <w:szCs w:val="24"/>
          <w:shd w:val="clear" w:color="auto" w:fill="auto"/>
        </w:rPr>
        <w:t xml:space="preserve">Auftragnehmer die Kosten für Verpflegung und Unterkunft für einen erneuten </w:t>
      </w:r>
      <w:r>
        <w:rPr>
          <w:sz w:val="24"/>
          <w:szCs w:val="24"/>
          <w:shd w:val="clear" w:color="auto" w:fill="auto"/>
        </w:rPr>
        <w:t xml:space="preserve">Abnahmetermin für bis zu drei Personen.</w:t>
      </w:r>
    </w:p>
    <w:p>
      <w:pPr>
        <w:pStyle w:val="PO155"/>
        <w:jc w:val="both"/>
        <w:spacing w:lineRule="auto" w:line="275"/>
        <w:ind w:left="425" w:right="425" w:firstLine="0"/>
        <w:tabs>
          <w:tab w:val="left" w:pos="567"/>
        </w:tabs>
        <w:rPr>
          <w:sz w:val="24"/>
          <w:szCs w:val="24"/>
          <w:shd w:val="clear" w:color="auto" w:fill="auto"/>
        </w:rPr>
      </w:pPr>
      <w:r>
        <w:rPr>
          <w:sz w:val="24"/>
          <w:szCs w:val="24"/>
          <w:shd w:val="clear" w:color="auto" w:fill="auto"/>
        </w:rPr>
        <w:t xml:space="preserve">Gleiches gilt für erforderliche weitere Abnahmetermine im Rahmen von </w:t>
      </w:r>
      <w:r>
        <w:rPr>
          <w:sz w:val="24"/>
          <w:szCs w:val="24"/>
          <w:shd w:val="clear" w:color="auto" w:fill="auto"/>
        </w:rPr>
        <w:t xml:space="preserve">Garantiearbeiten, sofern hierfür eine Anreise des Auftraggebers von mehr als 100 km </w:t>
      </w:r>
      <w:r>
        <w:rPr>
          <w:sz w:val="24"/>
          <w:szCs w:val="24"/>
          <w:shd w:val="clear" w:color="auto" w:fill="auto"/>
        </w:rPr>
        <w:t xml:space="preserve">vom Sitz des Auftraggebers notwendig ist.</w:t>
      </w:r>
    </w:p>
    <w:p>
      <w:pPr>
        <w:pStyle w:val="PO155"/>
        <w:jc w:val="both"/>
        <w:spacing w:lineRule="auto" w:line="275"/>
        <w:ind w:left="425" w:right="425" w:firstLine="0"/>
        <w:tabs>
          <w:tab w:val="left" w:pos="567"/>
        </w:tabs>
        <w:rPr>
          <w:sz w:val="24"/>
          <w:szCs w:val="24"/>
          <w:shd w:val="clear" w:color="auto" w:fill="auto"/>
        </w:rPr>
      </w:pPr>
    </w:p>
    <w:p>
      <w:pPr>
        <w:pStyle w:val="PO155"/>
        <w:jc w:val="both"/>
        <w:spacing w:lineRule="auto" w:line="275"/>
        <w:ind w:left="425" w:right="425" w:firstLine="0"/>
        <w:tabs>
          <w:tab w:val="left" w:pos="567"/>
        </w:tabs>
        <w:rPr>
          <w:sz w:val="24"/>
          <w:szCs w:val="24"/>
          <w:shd w:val="clear" w:color="auto" w:fill="auto"/>
        </w:rPr>
      </w:pPr>
    </w:p>
    <w:p>
      <w:pPr>
        <w:pStyle w:val="PO160"/>
        <w:jc w:val="both"/>
        <w:rPr>
          <w:color w:val="auto"/>
          <w:shd w:val="clear" w:color="auto" w:fill="auto"/>
        </w:rPr>
      </w:pPr>
      <w:r>
        <w:rPr>
          <w:color w:val="auto"/>
          <w:shd w:val="clear" w:color="auto" w:fill="auto"/>
        </w:rPr>
        <w:t xml:space="preserve">Vorauszahlungen werden nur geleistet, wenn diese ausdrücklich vereinbart und vertraglich </w:t>
      </w:r>
      <w:r>
        <w:rPr>
          <w:color w:val="auto"/>
          <w:shd w:val="clear" w:color="auto" w:fill="auto"/>
        </w:rPr>
        <w:t xml:space="preserve">anerkannt sind. Über jede evtl. zu leistende Vorauszahlungen hat der Auftragnehmer dem </w:t>
      </w:r>
      <w:r>
        <w:rPr>
          <w:color w:val="auto"/>
          <w:shd w:val="clear" w:color="auto" w:fill="auto"/>
        </w:rPr>
        <w:t xml:space="preserve">Auftraggeber eine Vorauszahlungsbürgschaft/ Anzahlungsbürgschaft vorzulegen. Zeitpunkt, </w:t>
      </w:r>
      <w:r>
        <w:rPr>
          <w:color w:val="auto"/>
          <w:shd w:val="clear" w:color="auto" w:fill="auto"/>
        </w:rPr>
        <w:t xml:space="preserve">Grund und Höhe der Vorauszahlung sind individuell mit dem AG abzustimmen.</w:t>
      </w:r>
    </w:p>
    <w:p>
      <w:pPr>
        <w:pStyle w:val="PO160"/>
        <w:jc w:val="both"/>
        <w:rPr>
          <w:color w:val="auto"/>
          <w:shd w:val="clear" w:color="auto" w:fill="auto"/>
        </w:rPr>
      </w:pPr>
    </w:p>
    <w:p>
      <w:pPr>
        <w:pStyle w:val="PO160"/>
        <w:jc w:val="both"/>
        <w:rPr>
          <w:b w:val="1"/>
          <w:color w:val="auto"/>
          <w:shd w:val="clear" w:color="auto" w:fill="auto"/>
        </w:rPr>
      </w:pPr>
      <w:r>
        <w:rPr>
          <w:b w:val="1"/>
          <w:color w:val="auto"/>
          <w:shd w:val="clear" w:color="auto" w:fill="auto"/>
        </w:rPr>
        <w:t xml:space="preserve">Allgemeine Leistungsbeschreibung</w:t>
      </w:r>
    </w:p>
    <w:p>
      <w:pPr>
        <w:pStyle w:val="PO160"/>
        <w:jc w:val="both"/>
        <w:rPr>
          <w:b w:val="1"/>
          <w:color w:val="auto"/>
          <w:sz w:val="28"/>
          <w:szCs w:val="28"/>
          <w:shd w:val="clear" w:color="auto" w:fill="auto"/>
        </w:rPr>
      </w:pPr>
    </w:p>
    <w:p>
      <w:pPr>
        <w:pStyle w:val="PO160"/>
        <w:jc w:val="both"/>
        <w:rPr>
          <w:color w:val="auto"/>
          <w:shd w:val="clear" w:color="auto" w:fill="auto"/>
        </w:rPr>
      </w:pPr>
      <w:r>
        <w:rPr>
          <w:color w:val="auto"/>
          <w:shd w:val="clear" w:color="auto" w:fill="auto"/>
        </w:rPr>
        <w:t xml:space="preserve">Alle technischen Detailabstimmungen sind unter Kenntnisnahme des Auftraggebers </w:t>
      </w:r>
      <w:r>
        <w:rPr>
          <w:color w:val="auto"/>
          <w:shd w:val="clear" w:color="auto" w:fill="auto"/>
        </w:rPr>
        <w:t xml:space="preserve">unaufgefordert ohne Mehrkosten vorzunehmen.</w:t>
      </w:r>
    </w:p>
    <w:p>
      <w:pPr>
        <w:pStyle w:val="PO160"/>
        <w:jc w:val="both"/>
        <w:rPr>
          <w:color w:val="auto"/>
          <w:shd w:val="clear" w:color="auto" w:fill="auto"/>
        </w:rPr>
      </w:pPr>
    </w:p>
    <w:p>
      <w:pPr>
        <w:pStyle w:val="PO160"/>
        <w:jc w:val="both"/>
        <w:rPr>
          <w:color w:val="auto"/>
          <w:shd w:val="clear" w:color="auto" w:fill="auto"/>
        </w:rPr>
      </w:pPr>
      <w:r>
        <w:rPr>
          <w:color w:val="auto"/>
          <w:shd w:val="clear" w:color="auto" w:fill="auto"/>
        </w:rPr>
        <w:t xml:space="preserve">Bei Unklarheiten innerhalb des Leistungsverzeichnisses empfehlen wir Ihnen vor Abgabe des </w:t>
      </w:r>
      <w:r>
        <w:rPr>
          <w:color w:val="auto"/>
          <w:shd w:val="clear" w:color="auto" w:fill="auto"/>
        </w:rPr>
        <w:t xml:space="preserve">Angebotes, Bieterfragen zu stellen. Der Verfahrensweg ergibt sich aus dem </w:t>
      </w:r>
      <w:r>
        <w:rPr>
          <w:color w:val="auto"/>
          <w:shd w:val="clear" w:color="auto" w:fill="auto"/>
        </w:rPr>
        <w:t xml:space="preserve">Vergabeverfahren. Die Fahrzeugabmessungen sind im Angebot anzugeben. Eine </w:t>
      </w:r>
      <w:r>
        <w:rPr>
          <w:color w:val="auto"/>
          <w:shd w:val="clear" w:color="auto" w:fill="auto"/>
        </w:rPr>
        <w:t xml:space="preserve">ausgeglichene Gewichtsverteilung ist sicherzustellen.</w:t>
      </w:r>
    </w:p>
    <w:p>
      <w:pPr>
        <w:pStyle w:val="PO160"/>
        <w:jc w:val="both"/>
        <w:rPr>
          <w:color w:val="auto"/>
          <w:shd w:val="clear" w:color="auto" w:fill="auto"/>
        </w:rPr>
      </w:pPr>
    </w:p>
    <w:p>
      <w:pPr>
        <w:pStyle w:val="PO160"/>
        <w:jc w:val="both"/>
        <w:rPr>
          <w:b w:val="1"/>
          <w:color w:val="auto"/>
          <w:shd w:val="clear" w:color="auto" w:fill="auto"/>
        </w:rPr>
      </w:pPr>
      <w:r>
        <w:rPr>
          <w:b w:val="1"/>
          <w:color w:val="auto"/>
          <w:shd w:val="clear" w:color="auto" w:fill="auto"/>
        </w:rPr>
        <w:t xml:space="preserve">Hinweise zur Produktneutralität</w:t>
      </w:r>
    </w:p>
    <w:p>
      <w:pPr>
        <w:pStyle w:val="PO160"/>
        <w:jc w:val="both"/>
        <w:rPr>
          <w:b w:val="1"/>
          <w:color w:val="auto"/>
          <w:shd w:val="clear" w:color="auto" w:fill="auto"/>
        </w:rPr>
      </w:pPr>
    </w:p>
    <w:p>
      <w:pPr>
        <w:pStyle w:val="PO160"/>
        <w:jc w:val="both"/>
        <w:rPr>
          <w:color w:val="auto"/>
          <w:shd w:val="clear" w:color="auto" w:fill="auto"/>
        </w:rPr>
      </w:pPr>
      <w:r>
        <w:rPr>
          <w:color w:val="auto"/>
          <w:shd w:val="clear" w:color="auto" w:fill="auto"/>
        </w:rPr>
        <w:t xml:space="preserve">Das Leistungsverzeichnis enthält einige Typ-Bestimmungen. Die Typbenennung in dem </w:t>
      </w:r>
      <w:r>
        <w:rPr>
          <w:color w:val="auto"/>
          <w:shd w:val="clear" w:color="auto" w:fill="auto"/>
        </w:rPr>
        <w:t xml:space="preserve">Leistungsverzeichnis ist erforderlich, damit der Auftragsgegenstand genauer beschrieben </w:t>
      </w:r>
      <w:r>
        <w:rPr>
          <w:color w:val="auto"/>
          <w:shd w:val="clear" w:color="auto" w:fill="auto"/>
        </w:rPr>
        <w:t xml:space="preserve">werden kann. Können gleichwertige Produkte angeboten werden, wurden die </w:t>
      </w:r>
      <w:r>
        <w:rPr>
          <w:color w:val="auto"/>
          <w:shd w:val="clear" w:color="auto" w:fill="auto"/>
        </w:rPr>
        <w:t xml:space="preserve">entsprechenden Positionen immer mit dem Zusatz „oder gleichwertig“ versehen. Für einige </w:t>
      </w:r>
      <w:r>
        <w:rPr>
          <w:color w:val="auto"/>
          <w:shd w:val="clear" w:color="auto" w:fill="auto"/>
        </w:rPr>
        <w:t xml:space="preserve">Positionen im Leistungsverzeichnis wurde nur ein bestimmter Typ abgefragt. Diese Angaben </w:t>
      </w:r>
      <w:r>
        <w:rPr>
          <w:color w:val="auto"/>
          <w:shd w:val="clear" w:color="auto" w:fill="auto"/>
        </w:rPr>
        <w:t xml:space="preserve">sind durch den entsprechenden Auftragsgegenstand gerechtfertigt.</w:t>
      </w:r>
    </w:p>
    <w:p>
      <w:pPr>
        <w:jc w:val="both"/>
        <w:rPr>
          <w:sz w:val="24"/>
          <w:szCs w:val="24"/>
          <w:shd w:val="clear" w:color="auto" w:fill="auto"/>
          <w:rFonts w:ascii="Arial" w:hAnsi="Arial" w:cs="Arial"/>
        </w:rPr>
      </w:pPr>
    </w:p>
    <w:p>
      <w:pPr>
        <w:jc w:val="both"/>
        <w:rPr>
          <w:sz w:val="24"/>
          <w:szCs w:val="24"/>
          <w:shd w:val="clear" w:color="auto" w:fill="auto"/>
          <w:rFonts w:ascii="Arial" w:hAnsi="Arial" w:cs="Arial"/>
        </w:rPr>
      </w:pPr>
      <w:r>
        <w:rPr>
          <w:sz w:val="24"/>
          <w:szCs w:val="24"/>
          <w:shd w:val="clear" w:color="auto" w:fill="auto"/>
          <w:rFonts w:ascii="Arial" w:hAnsi="Arial" w:cs="Arial"/>
        </w:rPr>
        <w:t xml:space="preserve">Aus Gründen der Systemkompatibilität zum Gerätebestand der Feuerwehr Oberhausen sind </w:t>
      </w:r>
      <w:r>
        <w:rPr>
          <w:sz w:val="24"/>
          <w:szCs w:val="24"/>
          <w:shd w:val="clear" w:color="auto" w:fill="auto"/>
          <w:rFonts w:ascii="Arial" w:hAnsi="Arial" w:cs="Arial"/>
        </w:rPr>
        <w:t xml:space="preserve">nur die angegebenen Typen/Fabrikate anzubieten.</w:t>
      </w:r>
    </w:p>
    <w:p>
      <w:pPr>
        <w:jc w:val="both"/>
        <w:rPr>
          <w:sz w:val="24"/>
          <w:szCs w:val="24"/>
          <w:shd w:val="clear" w:color="auto" w:fill="auto"/>
          <w:rFonts w:ascii="Arial" w:hAnsi="Arial" w:cs="Arial"/>
        </w:rPr>
      </w:pPr>
    </w:p>
    <w:p>
      <w:pPr>
        <w:jc w:val="both"/>
        <w:rPr>
          <w:sz w:val="24"/>
          <w:szCs w:val="24"/>
          <w:shd w:val="clear" w:color="auto" w:fill="auto"/>
          <w:rFonts w:ascii="Arial" w:hAnsi="Arial" w:cs="Arial"/>
        </w:rPr>
      </w:pPr>
    </w:p>
    <w:p>
      <w:pPr>
        <w:rPr>
          <w:b w:val="1"/>
          <w:color w:val="FFC000"/>
          <w:sz w:val="24"/>
          <w:szCs w:val="24"/>
          <w:shd w:val="clear" w:color="auto" w:fill="auto"/>
          <w:rFonts w:ascii="Arial" w:hAnsi="Arial" w:cs="Arial" w:eastAsiaTheme="minorHAnsi"/>
        </w:rPr>
      </w:pPr>
      <w:r>
        <w:rPr>
          <w:b w:val="1"/>
          <w:color w:val="FFC000"/>
          <w:sz w:val="24"/>
          <w:szCs w:val="24"/>
          <w:shd w:val="clear" w:color="auto" w:fill="auto"/>
          <w:rFonts w:ascii="Arial" w:hAnsi="Arial" w:cs="Arial" w:eastAsiaTheme="minorHAnsi"/>
        </w:rPr>
        <w:t xml:space="preserve">Hinweis zur Übernahme von Aufwendungen während der Abnahme:</w:t>
      </w:r>
    </w:p>
    <w:p>
      <w:pPr>
        <w:pStyle w:val="PO26"/>
        <w:numPr>
          <w:numId w:val="3"/>
          <w:ilvl w:val="0"/>
        </w:numPr>
        <w:jc w:val="both"/>
        <w:spacing w:lineRule="auto" w:line="275" w:after="200"/>
        <w:contextualSpacing w:val="1"/>
        <w:rPr>
          <w:color w:val="FFC000"/>
          <w:sz w:val="24"/>
          <w:szCs w:val="24"/>
          <w:shd w:val="clear" w:color="auto" w:fill="auto"/>
          <w:rFonts w:ascii="Arial" w:hAnsi="Arial" w:cs="Arial" w:eastAsiaTheme="minorHAnsi"/>
        </w:rPr>
        <w:widowControl w:val="1"/>
        <w:autoSpaceDE w:val="1"/>
        <w:autoSpaceDN w:val="1"/>
      </w:pPr>
      <w:r>
        <w:rPr>
          <w:color w:val="FFC000"/>
          <w:sz w:val="24"/>
          <w:szCs w:val="24"/>
          <w:shd w:val="clear" w:color="auto" w:fill="auto"/>
          <w:rFonts w:ascii="Arial" w:hAnsi="Arial" w:cs="Arial" w:eastAsiaTheme="minorHAnsi"/>
        </w:rPr>
        <w:t xml:space="preserve">Im Rahmen der technischen Abnahmen (Rohbauabnahme, Endabnahme, </w:t>
      </w:r>
      <w:r>
        <w:rPr>
          <w:color w:val="FFC000"/>
          <w:sz w:val="24"/>
          <w:szCs w:val="24"/>
          <w:shd w:val="clear" w:color="auto" w:fill="auto"/>
          <w:rFonts w:ascii="Arial" w:hAnsi="Arial" w:cs="Arial" w:eastAsiaTheme="minorHAnsi"/>
        </w:rPr>
        <w:t xml:space="preserve">Folgeabnahmetermine) ist die Anwesenheit von Vertretern des Auftraggebers vor Ort für </w:t>
      </w:r>
      <w:r>
        <w:rPr>
          <w:color w:val="FFC000"/>
          <w:sz w:val="24"/>
          <w:szCs w:val="24"/>
          <w:shd w:val="clear" w:color="auto" w:fill="auto"/>
          <w:rFonts w:ascii="Arial" w:hAnsi="Arial" w:cs="Arial" w:eastAsiaTheme="minorHAnsi"/>
        </w:rPr>
        <w:t xml:space="preserve">mehrere Tage erforderlich.</w:t>
      </w:r>
    </w:p>
    <w:p>
      <w:pPr>
        <w:pStyle w:val="PO26"/>
        <w:numPr>
          <w:numId w:val="3"/>
          <w:ilvl w:val="0"/>
        </w:numPr>
        <w:jc w:val="both"/>
        <w:spacing w:lineRule="auto" w:line="275" w:after="200"/>
        <w:contextualSpacing w:val="1"/>
        <w:rPr>
          <w:color w:val="FFC000"/>
          <w:sz w:val="24"/>
          <w:szCs w:val="24"/>
          <w:shd w:val="clear" w:color="auto" w:fill="auto"/>
          <w:rFonts w:ascii="Arial" w:hAnsi="Arial" w:cs="Arial" w:eastAsiaTheme="minorHAnsi"/>
        </w:rPr>
        <w:widowControl w:val="1"/>
        <w:autoSpaceDE w:val="1"/>
        <w:autoSpaceDN w:val="1"/>
      </w:pPr>
      <w:r>
        <w:rPr>
          <w:color w:val="FFC000"/>
          <w:sz w:val="24"/>
          <w:szCs w:val="24"/>
          <w:shd w:val="clear" w:color="auto" w:fill="auto"/>
          <w:rFonts w:ascii="Arial" w:hAnsi="Arial" w:cs="Arial" w:eastAsiaTheme="minorHAnsi"/>
        </w:rPr>
        <w:t xml:space="preserve">Der Auftragnehmer übernimmt die Kosten für Unterkunft und Verpflegung der an den </w:t>
      </w:r>
      <w:r>
        <w:rPr>
          <w:color w:val="FFC000"/>
          <w:sz w:val="24"/>
          <w:szCs w:val="24"/>
          <w:shd w:val="clear" w:color="auto" w:fill="auto"/>
          <w:rFonts w:ascii="Arial" w:hAnsi="Arial" w:cs="Arial" w:eastAsiaTheme="minorHAnsi"/>
        </w:rPr>
        <w:t xml:space="preserve">jeweiligen Abnahmen beteiligten Vertreter des Auftraggebers. Die Kostenübernahme </w:t>
      </w:r>
      <w:r>
        <w:rPr>
          <w:color w:val="FFC000"/>
          <w:sz w:val="24"/>
          <w:szCs w:val="24"/>
          <w:shd w:val="clear" w:color="auto" w:fill="auto"/>
          <w:rFonts w:ascii="Arial" w:hAnsi="Arial" w:cs="Arial" w:eastAsiaTheme="minorHAnsi"/>
        </w:rPr>
        <w:t xml:space="preserve">erfolgt im Rahmen der vertraglichen Leistungspflicht des Auftragnehmers zur </w:t>
      </w:r>
      <w:r>
        <w:rPr>
          <w:color w:val="FFC000"/>
          <w:sz w:val="24"/>
          <w:szCs w:val="24"/>
          <w:shd w:val="clear" w:color="auto" w:fill="auto"/>
          <w:rFonts w:ascii="Arial" w:hAnsi="Arial" w:cs="Arial" w:eastAsiaTheme="minorHAnsi"/>
        </w:rPr>
        <w:t xml:space="preserve">sachgerechten Durchführung der Abnahme.</w:t>
      </w:r>
    </w:p>
    <w:p>
      <w:pPr>
        <w:pStyle w:val="PO26"/>
        <w:numPr>
          <w:numId w:val="3"/>
          <w:ilvl w:val="0"/>
        </w:numPr>
        <w:jc w:val="both"/>
        <w:spacing w:lineRule="auto" w:line="275" w:after="200"/>
        <w:contextualSpacing w:val="1"/>
        <w:rPr>
          <w:color w:val="FFC000"/>
          <w:sz w:val="24"/>
          <w:szCs w:val="24"/>
          <w:shd w:val="clear" w:color="auto" w:fill="auto"/>
          <w:rFonts w:ascii="Arial" w:hAnsi="Arial" w:cs="Arial" w:eastAsiaTheme="minorHAnsi"/>
        </w:rPr>
        <w:widowControl w:val="1"/>
        <w:autoSpaceDE w:val="1"/>
        <w:autoSpaceDN w:val="1"/>
      </w:pPr>
      <w:r>
        <w:rPr>
          <w:color w:val="FFC000"/>
          <w:sz w:val="24"/>
          <w:szCs w:val="24"/>
          <w:shd w:val="clear" w:color="auto" w:fill="auto"/>
          <w:rFonts w:ascii="Arial" w:hAnsi="Arial" w:cs="Arial" w:eastAsiaTheme="minorHAnsi"/>
        </w:rPr>
        <w:t xml:space="preserve">Die Übernahme der Kosten stellt keine persönliche Zuwendung oder geldwerte Leistung </w:t>
      </w:r>
      <w:r>
        <w:rPr>
          <w:color w:val="FFC000"/>
          <w:sz w:val="24"/>
          <w:szCs w:val="24"/>
          <w:shd w:val="clear" w:color="auto" w:fill="auto"/>
          <w:rFonts w:ascii="Arial" w:hAnsi="Arial" w:cs="Arial" w:eastAsiaTheme="minorHAnsi"/>
        </w:rPr>
        <w:t xml:space="preserve">an die Vertreter des Auftraggebers dar, sondern dient ausschließlich der </w:t>
      </w:r>
      <w:r>
        <w:rPr>
          <w:color w:val="FFC000"/>
          <w:sz w:val="24"/>
          <w:szCs w:val="24"/>
          <w:shd w:val="clear" w:color="auto" w:fill="auto"/>
          <w:rFonts w:ascii="Arial" w:hAnsi="Arial" w:cs="Arial" w:eastAsiaTheme="minorHAnsi"/>
        </w:rPr>
        <w:t xml:space="preserve">ordnungsgemäßen Durchführung der vertraglich geschuldeten Leistung.</w:t>
      </w:r>
    </w:p>
    <w:p>
      <w:pPr>
        <w:pStyle w:val="PO26"/>
        <w:numPr>
          <w:numId w:val="3"/>
          <w:ilvl w:val="0"/>
        </w:numPr>
        <w:jc w:val="both"/>
        <w:spacing w:lineRule="auto" w:line="275" w:after="200"/>
        <w:contextualSpacing w:val="1"/>
        <w:rPr>
          <w:color w:val="FFC000"/>
          <w:sz w:val="24"/>
          <w:szCs w:val="24"/>
          <w:shd w:val="clear" w:color="auto" w:fill="auto"/>
          <w:rFonts w:ascii="Arial" w:hAnsi="Arial" w:cs="Arial" w:eastAsiaTheme="minorHAnsi"/>
        </w:rPr>
        <w:widowControl w:val="1"/>
        <w:autoSpaceDE w:val="1"/>
        <w:autoSpaceDN w:val="1"/>
      </w:pPr>
      <w:r>
        <w:rPr>
          <w:color w:val="FFC000"/>
          <w:sz w:val="24"/>
          <w:szCs w:val="24"/>
          <w:shd w:val="clear" w:color="auto" w:fill="auto"/>
          <w:rFonts w:ascii="Arial" w:hAnsi="Arial" w:cs="Arial" w:eastAsiaTheme="minorHAnsi"/>
        </w:rPr>
        <w:t xml:space="preserve">Die hierdurch entstehenden Aufwendungen sind in die Angebotssumme einzurechnen. </w:t>
      </w:r>
      <w:r>
        <w:rPr>
          <w:color w:val="FFC000"/>
          <w:sz w:val="24"/>
          <w:szCs w:val="24"/>
          <w:shd w:val="clear" w:color="auto" w:fill="auto"/>
          <w:rFonts w:ascii="Arial" w:hAnsi="Arial" w:cs="Arial" w:eastAsiaTheme="minorHAnsi"/>
        </w:rPr>
        <w:t xml:space="preserve">Eine gesonderte Erstattung durch den Auftraggeber erfolgt nicht.</w:t>
      </w:r>
    </w:p>
    <w:p>
      <w:pPr>
        <w:jc w:val="both"/>
        <w:rPr>
          <w:sz w:val="24"/>
          <w:szCs w:val="24"/>
          <w:shd w:val="clear" w:color="auto" w:fill="auto"/>
          <w:rFonts w:ascii="Arial" w:hAnsi="Arial" w:cs="Arial"/>
        </w:rPr>
      </w:pPr>
    </w:p>
    <w:p>
      <w:pPr>
        <w:jc w:val="both"/>
        <w:rPr>
          <w:b w:val="1"/>
          <w:color w:val="FF0000"/>
          <w:sz w:val="24"/>
          <w:szCs w:val="24"/>
          <w:u w:val="single"/>
          <w:shd w:val="clear" w:color="auto" w:fill="auto"/>
          <w:rFonts w:ascii="Arial" w:hAnsi="Arial" w:cs="Arial"/>
        </w:rPr>
      </w:pPr>
      <w:r>
        <w:rPr>
          <w:b w:val="1"/>
          <w:color w:val="FF0000"/>
          <w:sz w:val="24"/>
          <w:szCs w:val="24"/>
          <w:u w:val="single"/>
          <w:shd w:val="clear" w:color="auto" w:fill="auto"/>
          <w:rFonts w:ascii="Arial" w:hAnsi="Arial" w:cs="Arial"/>
        </w:rPr>
        <w:t xml:space="preserve">Wichtiger Hinweis:</w:t>
      </w:r>
    </w:p>
    <w:p>
      <w:pPr>
        <w:jc w:val="both"/>
        <w:rPr>
          <w:b w:val="1"/>
          <w:color w:val="FF0000"/>
          <w:sz w:val="24"/>
          <w:szCs w:val="24"/>
          <w:shd w:val="clear" w:color="auto" w:fill="auto"/>
          <w:rFonts w:ascii="Arial" w:hAnsi="Arial" w:cs="Arial"/>
        </w:rPr>
      </w:pPr>
      <w:r>
        <w:rPr>
          <w:b w:val="1"/>
          <w:color w:val="FF0000"/>
          <w:sz w:val="24"/>
          <w:szCs w:val="24"/>
          <w:shd w:val="clear" w:color="auto" w:fill="auto"/>
          <w:rFonts w:ascii="Arial" w:hAnsi="Arial" w:cs="Arial"/>
        </w:rPr>
        <w:t xml:space="preserve">Bitte überprüfen Sie, ob Sie bei allen zu bepreisenden Positionen eine Angabe gemacht </w:t>
      </w:r>
      <w:r>
        <w:rPr>
          <w:b w:val="1"/>
          <w:color w:val="FF0000"/>
          <w:sz w:val="24"/>
          <w:szCs w:val="24"/>
          <w:shd w:val="clear" w:color="auto" w:fill="auto"/>
          <w:rFonts w:ascii="Arial" w:hAnsi="Arial" w:cs="Arial"/>
        </w:rPr>
        <w:t xml:space="preserve">haben. Selbst wenn Sie für eine Position keinen Mehrpreis anbieten, ist es für ein </w:t>
      </w:r>
      <w:r>
        <w:rPr>
          <w:b w:val="1"/>
          <w:color w:val="FF0000"/>
          <w:sz w:val="24"/>
          <w:szCs w:val="24"/>
          <w:shd w:val="clear" w:color="auto" w:fill="auto"/>
          <w:rFonts w:ascii="Arial" w:hAnsi="Arial" w:cs="Arial"/>
        </w:rPr>
        <w:t xml:space="preserve">vollständiges Angebot zwingend notwendig, dass dort eine 0,00 eingetragen wird.</w:t>
      </w:r>
      <w:r>
        <w:rPr>
          <w:shd w:val="clear" w:color="auto" w:fill="auto"/>
        </w:rPr>
        <w:t xml:space="preserve"> </w:t>
      </w:r>
      <w:r>
        <w:rPr>
          <w:b w:val="1"/>
          <w:color w:val="FF0000"/>
          <w:sz w:val="24"/>
          <w:szCs w:val="24"/>
          <w:shd w:val="clear" w:color="auto" w:fill="auto"/>
          <w:rFonts w:ascii="Arial" w:hAnsi="Arial" w:cs="Arial"/>
        </w:rPr>
        <w:t xml:space="preserve">Angaben </w:t>
      </w:r>
      <w:r>
        <w:rPr>
          <w:b w:val="1"/>
          <w:color w:val="FF0000"/>
          <w:sz w:val="24"/>
          <w:szCs w:val="24"/>
          <w:shd w:val="clear" w:color="auto" w:fill="auto"/>
          <w:rFonts w:ascii="Arial" w:hAnsi="Arial" w:cs="Arial"/>
        </w:rPr>
        <w:t xml:space="preserve">wie „Serie“ oder vergleichbare Vermerke sind nicht zulässig und können zum Ausschluss </w:t>
      </w:r>
      <w:r>
        <w:rPr>
          <w:b w:val="1"/>
          <w:color w:val="FF0000"/>
          <w:sz w:val="24"/>
          <w:szCs w:val="24"/>
          <w:shd w:val="clear" w:color="auto" w:fill="auto"/>
          <w:rFonts w:ascii="Arial" w:hAnsi="Arial" w:cs="Arial"/>
        </w:rPr>
        <w:t xml:space="preserve">aus dem Vergabeverfahren führen.</w:t>
      </w:r>
    </w:p>
    <w:sectPr>
      <w:titlePg/>
      <w15:footnoteColumns w:val="1"/>
      <w:footerReference w:type="first" r:id="rId5"/>
      <w:pgSz w:w="11906" w:h="16838"/>
      <w:pgMar w:top="1134" w:left="1134" w:bottom="1134" w:right="851" w:header="709" w:footer="709" w:gutter="0"/>
      <w:pgNumType w:fmt="decimal" w:start="1"/>
      <w:docGrid w:type="default" w:linePitch="27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"/>
    <w:family w:val="roman"/>
    <w:pitch w:val="variable"/>
    <w:sig w:usb0="e00006ff" w:usb1="420024ff" w:usb2="02000000" w:usb3="00000000" w:csb0="0000019f" w:csb1="00000000"/>
  </w:font>
</w:fonts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5="http://schemas.microsoft.com/office/word/2012/wordml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 mc:Ignorable="w14 wp14 w15">
  <w:p>
    <w:pPr>
      <w:pStyle w:val="PO151"/>
      <w:jc w:val="right"/>
      <w:rPr>
        <w:sz w:val="16"/>
        <w:szCs w:val="16"/>
        <w:shd w:val="clear" w:color="auto" w:fill="auto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>
  <w:abstractNum w:abstractNumId="0">
    <w:multiLevelType w:val="hybridMultilevel"/>
    <w:nsid w:val="2F000000"/>
    <w:tmpl w:val="4118DBC1"/>
    <w:lvl w:ilvl="0">
      <w:lvlJc w:val="left"/>
      <w:numFmt w:val="decimal"/>
      <w:suff w:val="tab"/>
      <w:rPr>
        <w:shd w:val="clear" w:color="auto" w:fill="auto"/>
        <w:rFonts w:cs="Times New Roman"/>
      </w:rPr>
      <w:lvlText w:val="%*"/>
    </w:lvl>
    <w:lvl w:ilvl="1">
      <w:lvlJc w:val="left"/>
      <w:numFmt w:val="decimal"/>
      <w:suff w:val="tab"/>
      <w:rPr>
        <w:shd w:val="clear" w:color="auto" w:fill="auto"/>
        <w:rFonts w:cs="Times New Roman"/>
      </w:rPr>
      <w:lvlText w:val="%*"/>
    </w:lvl>
    <w:lvl w:ilvl="2">
      <w:lvlJc w:val="left"/>
      <w:numFmt w:val="decimal"/>
      <w:suff w:val="tab"/>
      <w:rPr>
        <w:shd w:val="clear" w:color="auto" w:fill="auto"/>
        <w:rFonts w:cs="Times New Roman"/>
      </w:rPr>
      <w:lvlText w:val="%*"/>
    </w:lvl>
    <w:lvl w:ilvl="3">
      <w:lvlJc w:val="left"/>
      <w:numFmt w:val="decimal"/>
      <w:suff w:val="tab"/>
      <w:rPr>
        <w:shd w:val="clear" w:color="auto" w:fill="auto"/>
        <w:rFonts w:cs="Times New Roman"/>
      </w:rPr>
      <w:lvlText w:val="%*"/>
    </w:lvl>
    <w:lvl w:ilvl="4">
      <w:lvlJc w:val="left"/>
      <w:numFmt w:val="decimal"/>
      <w:suff w:val="tab"/>
      <w:rPr>
        <w:shd w:val="clear" w:color="auto" w:fill="auto"/>
        <w:rFonts w:cs="Times New Roman"/>
      </w:rPr>
      <w:lvlText w:val="%*"/>
    </w:lvl>
    <w:lvl w:ilvl="5">
      <w:lvlJc w:val="left"/>
      <w:numFmt w:val="decimal"/>
      <w:suff w:val="tab"/>
      <w:rPr>
        <w:shd w:val="clear" w:color="auto" w:fill="auto"/>
        <w:rFonts w:cs="Times New Roman"/>
      </w:rPr>
      <w:lvlText w:val="%*"/>
    </w:lvl>
    <w:lvl w:ilvl="6">
      <w:lvlJc w:val="left"/>
      <w:numFmt w:val="decimal"/>
      <w:suff w:val="tab"/>
      <w:rPr>
        <w:shd w:val="clear" w:color="auto" w:fill="auto"/>
        <w:rFonts w:cs="Times New Roman"/>
      </w:rPr>
      <w:lvlText w:val="%*"/>
    </w:lvl>
    <w:lvl w:ilvl="7">
      <w:lvlJc w:val="left"/>
      <w:numFmt w:val="decimal"/>
      <w:suff w:val="tab"/>
      <w:rPr>
        <w:shd w:val="clear" w:color="auto" w:fill="auto"/>
        <w:rFonts w:cs="Times New Roman"/>
      </w:rPr>
      <w:lvlText w:val="%*"/>
    </w:lvl>
    <w:lvl w:ilvl="8">
      <w:lvlJc w:val="left"/>
      <w:numFmt w:val="decimal"/>
      <w:suff w:val="tab"/>
      <w:rPr>
        <w:shd w:val="clear" w:color="auto" w:fill="auto"/>
        <w:rFonts w:cs="Times New Roman"/>
      </w:rPr>
      <w:lvlText w:val="%*"/>
    </w:lvl>
  </w:abstractNum>
  <w:abstractNum w:abstractNumId="1">
    <w:multiLevelType w:val="hybridMultilevel"/>
    <w:nsid w:val="2F000001"/>
    <w:tmpl w:val="2D036D64"/>
    <w:lvl w:ilvl="0">
      <w:lvlJc w:val="left"/>
      <w:numFmt w:val="decimal"/>
      <w:start w:val="1"/>
      <w:suff w:val="tab"/>
      <w:pPr>
        <w:ind w:left="360" w:hanging="360"/>
        <w:rPr/>
      </w:pPr>
      <w:rPr>
        <w:shd w:val="clear" w:color="auto" w:fill="auto"/>
      </w:rPr>
      <w:lvlText w:val="%1."/>
    </w:lvl>
    <w:lvl w:ilvl="1">
      <w:lvlJc w:val="left"/>
      <w:numFmt w:val="lowerLetter"/>
      <w:start w:val="1"/>
      <w:suff w:val="tab"/>
      <w:pPr>
        <w:ind w:left="1080" w:hanging="360"/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1800" w:hanging="180"/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2520" w:hanging="360"/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3240" w:hanging="360"/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3960" w:hanging="180"/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4680" w:hanging="360"/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5400" w:hanging="360"/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6120" w:hanging="180"/>
        <w:rPr/>
      </w:pPr>
      <w:rPr>
        <w:shd w:val="clear" w:color="auto" w:fill="auto"/>
      </w:rPr>
      <w:lvlText w:val="%9."/>
    </w:lvl>
  </w:abstractNum>
  <w:abstractNum w:abstractNumId="2">
    <w:multiLevelType w:val="hybridMultilevel"/>
    <w:nsid w:val="2F000002"/>
    <w:tmpl w:val="2202C76C"/>
    <w:lvl w:ilvl="0">
      <w:lvlJc w:val="left"/>
      <w:numFmt w:val="decimal"/>
      <w:start w:val="1"/>
      <w:suff w:val="tab"/>
      <w:pPr>
        <w:ind w:left="283" w:hanging="283"/>
        <w:rPr/>
      </w:pPr>
      <w:rPr>
        <w:shd w:val="clear" w:color="auto" w:fill="auto"/>
        <w:rFonts w:cs="Times New Roman"/>
      </w:rPr>
      <w:lvlText w:val="%1."/>
    </w:lvl>
    <w:lvl w:ilvl="1">
      <w:lvlJc w:val="left"/>
      <w:numFmt w:val="decimal"/>
      <w:start w:val="1"/>
      <w:suff w:val="tab"/>
      <w:pPr>
        <w:ind w:left="283" w:hanging="283"/>
        <w:rPr/>
      </w:pPr>
      <w:rPr>
        <w:shd w:val="clear" w:color="auto" w:fill="auto"/>
        <w:rFonts w:cs="Times New Roman"/>
      </w:rPr>
      <w:lvlText w:val="%1."/>
    </w:lvl>
    <w:lvl w:ilvl="2">
      <w:lvlJc w:val="left"/>
      <w:numFmt w:val="decimal"/>
      <w:start w:val="1"/>
      <w:suff w:val="tab"/>
      <w:pPr>
        <w:ind w:left="283" w:hanging="283"/>
        <w:rPr/>
      </w:pPr>
      <w:rPr>
        <w:shd w:val="clear" w:color="auto" w:fill="auto"/>
        <w:rFonts w:cs="Times New Roman"/>
      </w:rPr>
      <w:lvlText w:val="%1."/>
    </w:lvl>
    <w:lvl w:ilvl="3">
      <w:lvlJc w:val="left"/>
      <w:numFmt w:val="decimal"/>
      <w:start w:val="1"/>
      <w:suff w:val="tab"/>
      <w:pPr>
        <w:ind w:left="283" w:hanging="283"/>
        <w:rPr/>
      </w:pPr>
      <w:rPr>
        <w:shd w:val="clear" w:color="auto" w:fill="auto"/>
        <w:rFonts w:cs="Times New Roman"/>
      </w:rPr>
      <w:lvlText w:val="%1."/>
    </w:lvl>
    <w:lvl w:ilvl="4">
      <w:lvlJc w:val="left"/>
      <w:numFmt w:val="decimal"/>
      <w:start w:val="1"/>
      <w:suff w:val="tab"/>
      <w:pPr>
        <w:ind w:left="283" w:hanging="283"/>
        <w:rPr/>
      </w:pPr>
      <w:rPr>
        <w:shd w:val="clear" w:color="auto" w:fill="auto"/>
        <w:rFonts w:cs="Times New Roman"/>
      </w:rPr>
      <w:lvlText w:val="%1."/>
    </w:lvl>
    <w:lvl w:ilvl="5">
      <w:lvlJc w:val="left"/>
      <w:numFmt w:val="decimal"/>
      <w:start w:val="1"/>
      <w:suff w:val="tab"/>
      <w:pPr>
        <w:ind w:left="283" w:hanging="283"/>
        <w:rPr/>
      </w:pPr>
      <w:rPr>
        <w:shd w:val="clear" w:color="auto" w:fill="auto"/>
        <w:rFonts w:cs="Times New Roman"/>
      </w:rPr>
      <w:lvlText w:val="%1."/>
    </w:lvl>
    <w:lvl w:ilvl="6">
      <w:lvlJc w:val="left"/>
      <w:numFmt w:val="decimal"/>
      <w:start w:val="1"/>
      <w:suff w:val="tab"/>
      <w:pPr>
        <w:ind w:left="283" w:hanging="283"/>
        <w:rPr/>
      </w:pPr>
      <w:rPr>
        <w:shd w:val="clear" w:color="auto" w:fill="auto"/>
        <w:rFonts w:cs="Times New Roman"/>
      </w:rPr>
      <w:lvlText w:val="%1."/>
    </w:lvl>
    <w:lvl w:ilvl="7">
      <w:lvlJc w:val="left"/>
      <w:numFmt w:val="decimal"/>
      <w:start w:val="1"/>
      <w:suff w:val="tab"/>
      <w:pPr>
        <w:ind w:left="283" w:hanging="283"/>
        <w:rPr/>
      </w:pPr>
      <w:rPr>
        <w:shd w:val="clear" w:color="auto" w:fill="auto"/>
        <w:rFonts w:cs="Times New Roman"/>
      </w:rPr>
      <w:lvlText w:val="%1."/>
    </w:lvl>
    <w:lvl w:ilvl="8">
      <w:lvlJc w:val="left"/>
      <w:numFmt w:val="decimal"/>
      <w:start w:val="1"/>
      <w:suff w:val="tab"/>
      <w:pPr>
        <w:ind w:left="283" w:hanging="283"/>
        <w:rPr/>
      </w:pPr>
      <w:rPr>
        <w:shd w:val="clear" w:color="auto" w:fill="auto"/>
        <w:rFonts w:cs="Times New Roman"/>
      </w:rPr>
      <w:lvlText w:val="%1."/>
    </w:lvl>
  </w:abstractNum>
  <w:num w:numId="1">
    <w:abstractNumId w:val="0"/>
    <w:lvlOverride w:ilvl="0">
      <w:startOverride w:val="0"/>
      <w:lvl w:ilvl="0">
        <w:lvlJc w:val="left"/>
        <w:numFmt w:val="bullet"/>
        <w:start w:val="1"/>
        <w:suff w:val="tab"/>
        <w:pPr>
          <w:ind w:left="850" w:hanging="283"/>
          <w:rPr/>
        </w:pPr>
        <w:rPr>
          <w:shd w:val="clear" w:color="auto" w:fill="auto"/>
          <w:rFonts w:ascii="Symbol" w:eastAsia="Symbol" w:hAnsi="Symbol" w:cs="Symbol" w:hint="default"/>
        </w:rPr>
        <w:lvlText w:val=""/>
      </w:lvl>
    </w:lvlOverride>
    <w:lvlOverride w:ilvl="0">
      <w:startOverride w:val="0"/>
      <w:lvl w:ilvl="0">
        <w:lvlJc w:val="left"/>
        <w:numFmt w:val="bullet"/>
        <w:start w:val="1"/>
        <w:suff w:val="tab"/>
        <w:pPr>
          <w:ind w:left="850" w:hanging="283"/>
          <w:rPr/>
        </w:pPr>
        <w:rPr>
          <w:shd w:val="clear" w:color="auto" w:fill="auto"/>
          <w:rFonts w:ascii="Symbol" w:eastAsia="Symbol" w:hAnsi="Symbol" w:cs="Symbol" w:hint="default"/>
        </w:rPr>
        <w:lvlText w:val=""/>
      </w:lvl>
    </w:lvlOverride>
    <w:lvlOverride w:ilvl="0">
      <w:startOverride w:val="0"/>
      <w:lvl w:ilvl="0">
        <w:lvlJc w:val="left"/>
        <w:numFmt w:val="bullet"/>
        <w:start w:val="1"/>
        <w:suff w:val="tab"/>
        <w:pPr>
          <w:ind w:left="850" w:hanging="283"/>
          <w:rPr/>
        </w:pPr>
        <w:rPr>
          <w:shd w:val="clear" w:color="auto" w:fill="auto"/>
          <w:rFonts w:ascii="Symbol" w:eastAsia="Symbol" w:hAnsi="Symbol" w:cs="Symbol" w:hint="default"/>
        </w:rPr>
        <w:lvlText w:val=""/>
      </w:lvl>
    </w:lvlOverride>
    <w:lvlOverride w:ilvl="0">
      <w:startOverride w:val="0"/>
      <w:lvl w:ilvl="0">
        <w:lvlJc w:val="left"/>
        <w:numFmt w:val="bullet"/>
        <w:start w:val="1"/>
        <w:suff w:val="tab"/>
        <w:pPr>
          <w:ind w:left="850" w:hanging="283"/>
          <w:rPr/>
        </w:pPr>
        <w:rPr>
          <w:shd w:val="clear" w:color="auto" w:fill="auto"/>
          <w:rFonts w:ascii="Symbol" w:eastAsia="Symbol" w:hAnsi="Symbol" w:cs="Symbol" w:hint="default"/>
        </w:rPr>
        <w:lvlText w:val=""/>
      </w:lvl>
    </w:lvlOverride>
    <w:lvlOverride w:ilvl="0">
      <w:startOverride w:val="0"/>
      <w:lvl w:ilvl="0">
        <w:lvlJc w:val="left"/>
        <w:numFmt w:val="bullet"/>
        <w:start w:val="1"/>
        <w:suff w:val="tab"/>
        <w:pPr>
          <w:ind w:left="850" w:hanging="283"/>
          <w:rPr/>
        </w:pPr>
        <w:rPr>
          <w:shd w:val="clear" w:color="auto" w:fill="auto"/>
          <w:rFonts w:ascii="Symbol" w:eastAsia="Symbol" w:hAnsi="Symbol" w:cs="Symbol" w:hint="default"/>
        </w:rPr>
        <w:lvlText w:val=""/>
      </w:lvl>
    </w:lvlOverride>
    <w:lvlOverride w:ilvl="0">
      <w:startOverride w:val="0"/>
      <w:lvl w:ilvl="0">
        <w:lvlJc w:val="left"/>
        <w:numFmt w:val="bullet"/>
        <w:start w:val="1"/>
        <w:suff w:val="tab"/>
        <w:pPr>
          <w:ind w:left="850" w:hanging="283"/>
          <w:rPr/>
        </w:pPr>
        <w:rPr>
          <w:shd w:val="clear" w:color="auto" w:fill="auto"/>
          <w:rFonts w:ascii="Symbol" w:eastAsia="Symbol" w:hAnsi="Symbol" w:cs="Symbol" w:hint="default"/>
        </w:rPr>
        <w:lvlText w:val=""/>
      </w:lvl>
    </w:lvlOverride>
    <w:lvlOverride w:ilvl="0">
      <w:startOverride w:val="0"/>
      <w:lvl w:ilvl="0">
        <w:lvlJc w:val="left"/>
        <w:numFmt w:val="bullet"/>
        <w:start w:val="1"/>
        <w:suff w:val="tab"/>
        <w:pPr>
          <w:ind w:left="850" w:hanging="283"/>
          <w:rPr/>
        </w:pPr>
        <w:rPr>
          <w:shd w:val="clear" w:color="auto" w:fill="auto"/>
          <w:rFonts w:ascii="Symbol" w:eastAsia="Symbol" w:hAnsi="Symbol" w:cs="Symbol" w:hint="default"/>
        </w:rPr>
        <w:lvlText w:val=""/>
      </w:lvl>
    </w:lvlOverride>
    <w:lvlOverride w:ilvl="0">
      <w:startOverride w:val="0"/>
      <w:lvl w:ilvl="0">
        <w:lvlJc w:val="left"/>
        <w:numFmt w:val="bullet"/>
        <w:start w:val="1"/>
        <w:suff w:val="tab"/>
        <w:pPr>
          <w:ind w:left="850" w:hanging="283"/>
          <w:rPr/>
        </w:pPr>
        <w:rPr>
          <w:shd w:val="clear" w:color="auto" w:fill="auto"/>
          <w:rFonts w:ascii="Symbol" w:eastAsia="Symbol" w:hAnsi="Symbol" w:cs="Symbol" w:hint="default"/>
        </w:rPr>
        <w:lvlText w:val=""/>
      </w:lvl>
    </w:lvlOverride>
    <w:lvlOverride w:ilvl="0">
      <w:startOverride w:val="0"/>
      <w:lvl w:ilvl="0">
        <w:lvlJc w:val="left"/>
        <w:numFmt w:val="bullet"/>
        <w:start w:val="1"/>
        <w:suff w:val="tab"/>
        <w:pPr>
          <w:ind w:left="850" w:hanging="283"/>
          <w:rPr/>
        </w:pPr>
        <w:rPr>
          <w:shd w:val="clear" w:color="auto" w:fill="auto"/>
          <w:rFonts w:ascii="Symbol" w:eastAsia="Symbol" w:hAnsi="Symbol" w:cs="Symbol" w:hint="default"/>
        </w:rPr>
        <w:lvlText w:val=""/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708"/>
  <w:displayHorizontalDrawingGridEvery w:val="0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bordersDoNotSurroundFooter/>
  <w:compat>
    <w:useFELayout/>
    <w:compatSetting w:name="compatibilityMode" w:uri="http://schemas.microsoft.com/office/word" w:val="15"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spacing w:lineRule="auto" w:line="275" w:after="200"/>
        <w:rPr/>
      </w:pPr>
    </w:pPrDefault>
    <w:rPrDefault>
      <w:rPr>
        <w:sz w:val="22"/>
        <w:szCs w:val="22"/>
        <w:shd w:val="clear" w:color="auto" w:fill="auto"/>
        <w:rFonts w:asciiTheme="minorHAnsi" w:eastAsiaTheme="minorHAnsi" w:hAnsiTheme="minorHAnsi" w:cstheme="minorBidi"/>
        <w:lang w:bidi="ar-SA" w:eastAsia="en-US" w:val="de-DE"/>
      </w:rPr>
    </w:rPrDefault>
  </w:docDefaults>
  <w:style w:default="1" w:styleId="PO1" w:type="paragraph">
    <w:name w:val="Normal"/>
    <w:qFormat/>
    <w:pPr>
      <w:spacing w:lineRule="auto" w:line="240" w:after="0"/>
      <w:rPr/>
      <w:widowControl w:val="0"/>
      <w:autoSpaceDE w:val="0"/>
      <w:autoSpaceDN w:val="0"/>
    </w:pPr>
    <w:rPr>
      <w:sz w:val="20"/>
      <w:szCs w:val="20"/>
      <w:shd w:val="clear" w:color="auto" w:fill="auto"/>
      <w:rFonts w:ascii="Times New Roman" w:eastAsia="Times New Roman" w:hAnsi="Times New Roman" w:cs="Times New Roman"/>
      <w:lang w:eastAsia="de-DE"/>
    </w:rPr>
  </w:style>
  <w:style w:default="1" w:styleId="PO2" w:type="character">
    <w:name w:val="Default Paragraph Font"/>
    <w:uiPriority w:val="1"/>
    <w:semiHidden/>
    <w:unhideWhenUsed/>
  </w:style>
  <w:style w:default="1" w:styleId="PO3" w:type="table">
    <w:name w:val="Normal Table"/>
    <w:uiPriority w:val="99"/>
    <w:semiHidden/>
    <w:unhideWhenUsed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99"/>
    <w:semiHidden/>
    <w:unhideWhenUsed/>
  </w:style>
  <w:style w:styleId="PO26" w:type="paragraph">
    <w:name w:val="List Paragraph"/>
    <w:basedOn w:val="PO1"/>
    <w:qFormat/>
    <w:uiPriority w:val="34"/>
    <w:pPr>
      <w:ind w:left="708" w:firstLine="0"/>
      <w:rPr/>
    </w:pPr>
    <w:rPr>
      <w:shd w:val="clear"/>
    </w:rPr>
  </w:style>
  <w:style w:styleId="PO151" w:type="paragraph">
    <w:name w:val="footer"/>
    <w:basedOn w:val="PO1"/>
    <w:link w:val="PO152"/>
    <w:uiPriority w:val="99"/>
    <w:pPr>
      <w:tabs>
        <w:tab w:val="center" w:pos="4320"/>
        <w:tab w:val="right" w:pos="8640"/>
      </w:tabs>
      <w:rPr/>
    </w:pPr>
    <w:rPr>
      <w:shd w:val="clear"/>
    </w:rPr>
  </w:style>
  <w:style w:customStyle="1" w:styleId="PO152" w:type="character">
    <w:name w:val="Fußzeile Zchn"/>
    <w:basedOn w:val="PO2"/>
    <w:link w:val="PO151"/>
    <w:uiPriority w:val="99"/>
    <w:rPr>
      <w:sz w:val="20"/>
      <w:szCs w:val="20"/>
      <w:shd w:val="clear" w:color="auto" w:fill="auto"/>
      <w:rFonts w:ascii="Times New Roman" w:eastAsia="Times New Roman" w:hAnsi="Times New Roman" w:cs="Times New Roman"/>
      <w:lang w:eastAsia="de-DE"/>
    </w:rPr>
  </w:style>
  <w:style w:styleId="PO153" w:type="paragraph">
    <w:name w:val="header"/>
    <w:basedOn w:val="PO1"/>
    <w:link w:val="PO154"/>
    <w:uiPriority w:val="99"/>
    <w:pPr>
      <w:tabs>
        <w:tab w:val="center" w:pos="4320"/>
        <w:tab w:val="right" w:pos="8640"/>
      </w:tabs>
      <w:rPr/>
    </w:pPr>
    <w:rPr>
      <w:shd w:val="clear"/>
    </w:rPr>
  </w:style>
  <w:style w:customStyle="1" w:styleId="PO154" w:type="character">
    <w:name w:val="Kopfzeile Zchn"/>
    <w:basedOn w:val="PO2"/>
    <w:link w:val="PO153"/>
    <w:uiPriority w:val="99"/>
    <w:rPr>
      <w:sz w:val="20"/>
      <w:szCs w:val="20"/>
      <w:shd w:val="clear" w:color="auto" w:fill="auto"/>
      <w:rFonts w:ascii="Times New Roman" w:eastAsia="Times New Roman" w:hAnsi="Times New Roman" w:cs="Times New Roman"/>
      <w:lang w:eastAsia="de-DE"/>
    </w:rPr>
  </w:style>
  <w:style w:styleId="PO155" w:type="paragraph">
    <w:name w:val="Body Text 2"/>
    <w:basedOn w:val="PO1"/>
    <w:link w:val="PO156"/>
    <w:uiPriority w:val="99"/>
    <w:pPr>
      <w:spacing w:lineRule="auto" w:line="360"/>
      <w:ind w:right="-1" w:firstLine="0"/>
      <w:rPr/>
    </w:pPr>
    <w:rPr>
      <w:shd w:val="clear" w:color="auto" w:fill="auto"/>
      <w:rFonts w:ascii="Arial" w:hAnsi="Arial" w:cs="Arial"/>
    </w:rPr>
  </w:style>
  <w:style w:customStyle="1" w:styleId="PO156" w:type="character">
    <w:name w:val="Textkörper 2 Zchn"/>
    <w:basedOn w:val="PO2"/>
    <w:link w:val="PO155"/>
    <w:uiPriority w:val="99"/>
    <w:rPr>
      <w:sz w:val="20"/>
      <w:szCs w:val="20"/>
      <w:shd w:val="clear" w:color="auto" w:fill="auto"/>
      <w:rFonts w:ascii="Arial" w:eastAsia="Times New Roman" w:hAnsi="Arial" w:cs="Arial"/>
      <w:lang w:eastAsia="de-DE"/>
    </w:rPr>
  </w:style>
  <w:style w:styleId="PO157" w:type="character">
    <w:name w:val="Placeholder Text"/>
    <w:basedOn w:val="PO2"/>
    <w:uiPriority w:val="99"/>
    <w:semiHidden/>
    <w:rPr>
      <w:color w:val="808080"/>
      <w:shd w:val="clear" w:color="auto" w:fill="auto"/>
    </w:rPr>
  </w:style>
  <w:style w:styleId="PO158" w:type="character">
    <w:name w:val="Hyperlink"/>
    <w:basedOn w:val="PO2"/>
    <w:uiPriority w:val="99"/>
    <w:unhideWhenUsed/>
    <w:rPr>
      <w:color w:val="0000FF" w:themeColor="hyperlink"/>
      <w:u w:val="single"/>
      <w:shd w:val="clear" w:color="auto" w:fill="auto"/>
    </w:rPr>
  </w:style>
  <w:style w:styleId="PO159" w:type="character">
    <w:name w:val="Unresolved Mention"/>
    <w:basedOn w:val="PO2"/>
    <w:uiPriority w:val="99"/>
    <w:semiHidden/>
    <w:unhideWhenUsed/>
    <w:rPr>
      <w:color w:val="605E5C"/>
      <w:shd w:val="clear" w:color="auto" w:fill="E1DFDD"/>
    </w:rPr>
  </w:style>
  <w:style w:customStyle="1" w:styleId="PO160" w:type="paragraph">
    <w:name w:val="Default"/>
    <w:pPr>
      <w:spacing w:lineRule="auto" w:line="240" w:after="0"/>
      <w:rPr/>
      <w:autoSpaceDE w:val="0"/>
      <w:autoSpaceDN w:val="0"/>
    </w:pPr>
    <w:rPr>
      <w:color w:val="000000"/>
      <w:sz w:val="24"/>
      <w:szCs w:val="24"/>
      <w:shd w:val="clear" w:color="auto" w:fill="auto"/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settings" Target="settings.xml"></Relationship><Relationship Id="rId2" Type="http://schemas.openxmlformats.org/officeDocument/2006/relationships/styles" Target="styles.xml"></Relationship><Relationship Id="rId3" Type="http://schemas.openxmlformats.org/officeDocument/2006/relationships/webSettings" Target="webSettings.xml"></Relationship><Relationship Id="rId4" Type="http://schemas.openxmlformats.org/officeDocument/2006/relationships/fontTable" Target="fontTable.xml"></Relationship><Relationship Id="rId5" Type="http://schemas.openxmlformats.org/officeDocument/2006/relationships/footer" Target="footer2.xml"></Relationship><Relationship Id="rId6" Type="http://schemas.openxmlformats.org/officeDocument/2006/relationships/numbering" Target="numbering.xml"></Relationship><Relationship Id="rId7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12.000</AppVersion>
  <Characters>0</Characters>
  <CharactersWithSpaces>0</CharactersWithSpaces>
  <Company>OGM GmbH</Company>
  <DocSecurity>0</DocSecurity>
  <HyperlinksChanged>false</HyperlinksChanged>
  <Lines>70</Lines>
  <LinksUpToDate>false</LinksUpToDate>
  <Pages>5</Pages>
  <Paragraphs>19</Paragraphs>
  <Words>1343</Words>
  <TotalTime>0</TotalTime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Reuschenbach, Matthias</dc:creator>
  <cp:lastModifiedBy>POLARIS OFFICE</cp:lastModifiedBy>
  <dcterms:modified xsi:type="dcterms:W3CDTF">2026-04-15T07:01:00Z</dcterms:modified>
</cp:coreProperties>
</file>